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D817F" w14:textId="5D75112E" w:rsidR="00F223EF" w:rsidRPr="00486D31" w:rsidRDefault="00F223EF" w:rsidP="001713AF">
      <w:r w:rsidRPr="00486D31">
        <w:rPr>
          <w:noProof/>
          <w:lang w:eastAsia="en-GB" w:bidi="ar-SA"/>
        </w:rPr>
        <w:drawing>
          <wp:inline distT="0" distB="0" distL="0" distR="0" wp14:anchorId="6E0D83B6" wp14:editId="6F20F1B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E0D8180" w14:textId="77777777" w:rsidR="00F223EF" w:rsidRPr="00486D31" w:rsidRDefault="00F223EF" w:rsidP="001713AF"/>
    <w:p w14:paraId="6E0D8181" w14:textId="0980ADFC" w:rsidR="00F223EF" w:rsidRPr="00486D31" w:rsidRDefault="00F223EF" w:rsidP="00E426EB">
      <w:pPr>
        <w:pStyle w:val="FSTitle"/>
        <w:tabs>
          <w:tab w:val="left" w:pos="5055"/>
        </w:tabs>
        <w:rPr>
          <w:b/>
        </w:rPr>
      </w:pPr>
      <w:r w:rsidRPr="00CD639E">
        <w:rPr>
          <w:b/>
        </w:rPr>
        <w:t xml:space="preserve">Supporting document </w:t>
      </w:r>
      <w:r w:rsidR="006D651B">
        <w:rPr>
          <w:b/>
        </w:rPr>
        <w:t>2</w:t>
      </w:r>
    </w:p>
    <w:p w14:paraId="6E0D8182" w14:textId="77777777" w:rsidR="00F223EF" w:rsidRPr="00486D31" w:rsidRDefault="00F223EF" w:rsidP="001713AF"/>
    <w:p w14:paraId="6E0D8183" w14:textId="77777777" w:rsidR="00F223EF" w:rsidRPr="00486D31" w:rsidRDefault="00F223EF" w:rsidP="001713AF">
      <w:pPr>
        <w:pStyle w:val="FSTitle"/>
      </w:pPr>
      <w:r w:rsidRPr="00486D31">
        <w:t xml:space="preserve">Risk </w:t>
      </w:r>
      <w:r w:rsidR="00301B67">
        <w:t xml:space="preserve">and technical </w:t>
      </w:r>
      <w:r w:rsidRPr="00486D31">
        <w:t xml:space="preserve">assessment </w:t>
      </w:r>
      <w:r w:rsidR="00301B67">
        <w:t xml:space="preserve">report </w:t>
      </w:r>
      <w:r w:rsidRPr="00486D31">
        <w:t xml:space="preserve">– Application </w:t>
      </w:r>
      <w:r w:rsidR="001713AF" w:rsidRPr="00486D31">
        <w:t>A1</w:t>
      </w:r>
      <w:r w:rsidR="001713AF">
        <w:t>100</w:t>
      </w:r>
    </w:p>
    <w:p w14:paraId="6E0D8184" w14:textId="77777777" w:rsidR="00F223EF" w:rsidRPr="00486D31" w:rsidRDefault="00F223EF" w:rsidP="001713AF"/>
    <w:p w14:paraId="6E0D8185" w14:textId="77777777" w:rsidR="00F223EF" w:rsidRPr="00486D31" w:rsidRDefault="00301B67" w:rsidP="001713AF">
      <w:pPr>
        <w:pStyle w:val="FSTitle"/>
      </w:pPr>
      <w:r>
        <w:t>Maximum Permitted Level of Acesulphame Potassium in Chewing G</w:t>
      </w:r>
      <w:r w:rsidR="001713AF">
        <w:t>um</w:t>
      </w:r>
    </w:p>
    <w:p w14:paraId="6E0D8186" w14:textId="77777777" w:rsidR="00F223EF" w:rsidRPr="00486D31" w:rsidRDefault="00F223EF" w:rsidP="001713AF">
      <w:pPr>
        <w:pBdr>
          <w:bottom w:val="single" w:sz="12" w:space="1" w:color="auto"/>
        </w:pBdr>
        <w:spacing w:line="280" w:lineRule="exact"/>
        <w:rPr>
          <w:rFonts w:cs="Arial"/>
          <w:bCs/>
        </w:rPr>
      </w:pPr>
    </w:p>
    <w:p w14:paraId="6E0D8187" w14:textId="77777777" w:rsidR="00F223EF" w:rsidRPr="00486D31" w:rsidRDefault="00F223EF" w:rsidP="001713AF"/>
    <w:p w14:paraId="6E0D8188" w14:textId="77777777" w:rsidR="00F223EF" w:rsidRPr="00486D31" w:rsidRDefault="00F223EF" w:rsidP="001713AF">
      <w:pPr>
        <w:pStyle w:val="Heading1"/>
        <w:ind w:left="432" w:hanging="432"/>
      </w:pPr>
      <w:bookmarkStart w:id="0" w:name="_Toc286391001"/>
      <w:bookmarkStart w:id="1" w:name="_Toc300933414"/>
      <w:bookmarkStart w:id="2" w:name="_Toc427684450"/>
      <w:r w:rsidRPr="00486D31">
        <w:t>Executive summary</w:t>
      </w:r>
      <w:bookmarkEnd w:id="0"/>
      <w:bookmarkEnd w:id="1"/>
      <w:bookmarkEnd w:id="2"/>
    </w:p>
    <w:p w14:paraId="6E0D8189" w14:textId="77777777" w:rsidR="00B25D3A" w:rsidRDefault="00B25D3A" w:rsidP="001713AF">
      <w:r w:rsidRPr="00B25D3A">
        <w:t xml:space="preserve">Acesulphame potassium </w:t>
      </w:r>
      <w:r>
        <w:t xml:space="preserve">(Ace K) </w:t>
      </w:r>
      <w:r w:rsidRPr="00B25D3A">
        <w:t xml:space="preserve">is currently permitted </w:t>
      </w:r>
      <w:r>
        <w:t xml:space="preserve">in the Code </w:t>
      </w:r>
      <w:r w:rsidRPr="00B25D3A">
        <w:t>as an intense sweetener th</w:t>
      </w:r>
      <w:r>
        <w:t xml:space="preserve">at can be added to chewing gum at a maximum permitted level (MPL) of 2000 mg/kg. This Application requests an increase in the MPL to </w:t>
      </w:r>
      <w:r w:rsidRPr="00B25D3A">
        <w:t>5000 mg/kg</w:t>
      </w:r>
      <w:r w:rsidR="00C95474">
        <w:t>,</w:t>
      </w:r>
      <w:r w:rsidRPr="00B25D3A">
        <w:t xml:space="preserve"> which is the MPL for Ace K in chewing gum in the Codex General Standard for Food Additives</w:t>
      </w:r>
      <w:r>
        <w:t>.</w:t>
      </w:r>
    </w:p>
    <w:p w14:paraId="6E0D818A" w14:textId="77777777" w:rsidR="00B25D3A" w:rsidRDefault="00B25D3A" w:rsidP="001713AF"/>
    <w:p w14:paraId="6E0D818B" w14:textId="77777777" w:rsidR="00B25D3A" w:rsidRDefault="00C3290D" w:rsidP="001713AF">
      <w:r>
        <w:t>FSANZ considers the</w:t>
      </w:r>
      <w:r w:rsidR="00EF2A08">
        <w:t xml:space="preserve"> Acceptable Daily Intake (ADI) of 0–15 mg Ace K per kg bodyweight </w:t>
      </w:r>
      <w:r>
        <w:t>established</w:t>
      </w:r>
      <w:r w:rsidR="00EF2A08">
        <w:t xml:space="preserve"> by the </w:t>
      </w:r>
      <w:r w:rsidR="00EF2A08" w:rsidRPr="00EF2A08">
        <w:t>Joint FAO/WHO Expert Committee on Food Additives</w:t>
      </w:r>
      <w:r w:rsidR="00EF2A08">
        <w:t xml:space="preserve"> (JECFA)</w:t>
      </w:r>
      <w:r>
        <w:t xml:space="preserve"> to be a suitable health-based guidance value </w:t>
      </w:r>
      <w:r w:rsidR="00D22CB2">
        <w:t xml:space="preserve">to compare with estimated </w:t>
      </w:r>
      <w:r>
        <w:t>dietary exposure</w:t>
      </w:r>
      <w:r w:rsidR="00C84FC0">
        <w:t>. N</w:t>
      </w:r>
      <w:r w:rsidR="00EF2A08">
        <w:t>o subsequent studies have been located which could be considered to affect this ADI.</w:t>
      </w:r>
    </w:p>
    <w:p w14:paraId="6E0D818C" w14:textId="77777777" w:rsidR="00F223EF" w:rsidRDefault="00F223EF" w:rsidP="001713AF"/>
    <w:p w14:paraId="6E0D818D" w14:textId="77777777" w:rsidR="00EF2A08" w:rsidRPr="00EF2A08" w:rsidRDefault="00EF2A08" w:rsidP="001713AF">
      <w:r>
        <w:t xml:space="preserve">A dietary exposure assessment has been undertaken using </w:t>
      </w:r>
      <w:r w:rsidR="00C50208" w:rsidRPr="00C50208">
        <w:t xml:space="preserve">food consumption data </w:t>
      </w:r>
      <w:r w:rsidR="0009095C">
        <w:t xml:space="preserve">for chewing gum </w:t>
      </w:r>
      <w:r w:rsidR="00C50208" w:rsidRPr="00C50208">
        <w:t>from the available Australian and New Zealand national nutrition surveys</w:t>
      </w:r>
      <w:r w:rsidR="00C50208">
        <w:t>,</w:t>
      </w:r>
      <w:r w:rsidR="00C50208" w:rsidRPr="00C50208">
        <w:t xml:space="preserve"> </w:t>
      </w:r>
      <w:r w:rsidR="00C50208">
        <w:t xml:space="preserve">and </w:t>
      </w:r>
      <w:r>
        <w:t xml:space="preserve">data </w:t>
      </w:r>
      <w:r w:rsidR="00C50208">
        <w:t xml:space="preserve">on </w:t>
      </w:r>
      <w:r>
        <w:t>Australia/New Zealand consumption</w:t>
      </w:r>
      <w:r w:rsidR="00067873">
        <w:t xml:space="preserve"> of </w:t>
      </w:r>
      <w:r w:rsidR="0009095C">
        <w:t xml:space="preserve">other </w:t>
      </w:r>
      <w:r w:rsidR="00067873">
        <w:t>foods containing intense sweeteners</w:t>
      </w:r>
      <w:r>
        <w:t xml:space="preserve">. </w:t>
      </w:r>
      <w:r w:rsidR="00C50208">
        <w:t>Using conservative assumptions to account for the additional dietary exposure resulting from the increase in the MPL for chewing gum</w:t>
      </w:r>
      <w:r w:rsidR="00334759">
        <w:t xml:space="preserve">, </w:t>
      </w:r>
      <w:r w:rsidR="00F24666">
        <w:t xml:space="preserve">estimated </w:t>
      </w:r>
      <w:r w:rsidR="00334759" w:rsidRPr="00334759">
        <w:t xml:space="preserve">dietary exposures </w:t>
      </w:r>
      <w:r w:rsidR="00F24666">
        <w:t>for high (90</w:t>
      </w:r>
      <w:r w:rsidR="00F24666" w:rsidRPr="00334759">
        <w:rPr>
          <w:vertAlign w:val="superscript"/>
        </w:rPr>
        <w:t>th</w:t>
      </w:r>
      <w:r w:rsidR="00F24666" w:rsidRPr="00334759">
        <w:t xml:space="preserve"> percentile</w:t>
      </w:r>
      <w:r w:rsidR="00F24666">
        <w:t>) consumers</w:t>
      </w:r>
      <w:r w:rsidR="00F24666" w:rsidRPr="00334759">
        <w:t xml:space="preserve"> </w:t>
      </w:r>
      <w:r w:rsidR="00334759" w:rsidRPr="00334759">
        <w:t xml:space="preserve">were </w:t>
      </w:r>
      <w:r w:rsidR="00733398">
        <w:t>6–</w:t>
      </w:r>
      <w:r w:rsidR="00334759" w:rsidRPr="00334759">
        <w:t>20% of the ADI for the population groups assessed</w:t>
      </w:r>
      <w:r w:rsidR="00334759">
        <w:t>.</w:t>
      </w:r>
    </w:p>
    <w:p w14:paraId="6E0D818E" w14:textId="77777777" w:rsidR="00334759" w:rsidRDefault="00334759" w:rsidP="001713AF"/>
    <w:p w14:paraId="6E0D818F" w14:textId="77777777" w:rsidR="00D855CD" w:rsidRPr="00E23629" w:rsidRDefault="00334759" w:rsidP="00D855CD">
      <w:pPr>
        <w:rPr>
          <w:rFonts w:cs="Arial"/>
        </w:rPr>
      </w:pPr>
      <w:r>
        <w:rPr>
          <w:rFonts w:cs="Arial"/>
        </w:rPr>
        <w:t>It is concluded that t</w:t>
      </w:r>
      <w:r w:rsidR="00D855CD">
        <w:rPr>
          <w:rFonts w:cs="Arial"/>
        </w:rPr>
        <w:t>he proposed increase in the MPL for</w:t>
      </w:r>
      <w:r>
        <w:rPr>
          <w:rFonts w:cs="Arial"/>
        </w:rPr>
        <w:t xml:space="preserve"> Ace K in chewing gum from 2000 </w:t>
      </w:r>
      <w:r w:rsidR="00D855CD">
        <w:rPr>
          <w:rFonts w:cs="Arial"/>
        </w:rPr>
        <w:t xml:space="preserve">mg/kg to 5000 mg/kg </w:t>
      </w:r>
      <w:r w:rsidR="00C95474">
        <w:rPr>
          <w:rFonts w:cs="Arial"/>
        </w:rPr>
        <w:t xml:space="preserve">would </w:t>
      </w:r>
      <w:r w:rsidR="00D855CD">
        <w:rPr>
          <w:rFonts w:cs="Arial"/>
        </w:rPr>
        <w:t xml:space="preserve">result in estimated dietary exposure to Ace K </w:t>
      </w:r>
      <w:r w:rsidR="0009095C">
        <w:rPr>
          <w:rFonts w:cs="Arial"/>
        </w:rPr>
        <w:t xml:space="preserve">well </w:t>
      </w:r>
      <w:r w:rsidR="00D855CD">
        <w:rPr>
          <w:rFonts w:cs="Arial"/>
        </w:rPr>
        <w:t xml:space="preserve">below the ADIof 15 mg/kg bw. </w:t>
      </w:r>
      <w:r>
        <w:rPr>
          <w:rFonts w:cs="Arial"/>
        </w:rPr>
        <w:t>Therefore, t</w:t>
      </w:r>
      <w:r w:rsidR="00D855CD">
        <w:rPr>
          <w:rFonts w:cs="Arial"/>
        </w:rPr>
        <w:t>here are no public health and safety concerns associated with the proposed increase in the MPL for Ace K in chewing gum.</w:t>
      </w:r>
    </w:p>
    <w:p w14:paraId="6E0D8190" w14:textId="77777777" w:rsidR="00D855CD" w:rsidRDefault="00D855CD" w:rsidP="001713AF"/>
    <w:p w14:paraId="6E0D8191" w14:textId="77777777" w:rsidR="005B76DA" w:rsidRDefault="005B76DA" w:rsidP="005B76DA">
      <w:pPr>
        <w:rPr>
          <w:color w:val="000000" w:themeColor="text1"/>
        </w:rPr>
      </w:pPr>
      <w:r>
        <w:rPr>
          <w:color w:val="000000" w:themeColor="text1"/>
        </w:rPr>
        <w:t xml:space="preserve">All references to </w:t>
      </w:r>
      <w:r w:rsidRPr="001D7132">
        <w:rPr>
          <w:i/>
        </w:rPr>
        <w:t>the Australia New Zealand Food Standard</w:t>
      </w:r>
      <w:r>
        <w:t xml:space="preserve"> Code (the Code) </w:t>
      </w:r>
      <w:r>
        <w:rPr>
          <w:color w:val="000000" w:themeColor="text1"/>
        </w:rPr>
        <w:t>in this report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until </w:t>
      </w:r>
      <w:r w:rsidRPr="00306096">
        <w:t>close to this date</w:t>
      </w:r>
      <w:r>
        <w:t xml:space="preserve"> (if approved by the FSANZ Board</w:t>
      </w:r>
      <w:r w:rsidRPr="00D209C9">
        <w:t xml:space="preserve"> </w:t>
      </w:r>
      <w:r>
        <w:t>and no review of that decision is requested by Ministers). FSANZ therefore considers it is unnecessary to amend the current Code.</w:t>
      </w:r>
      <w:r w:rsidRPr="001E1FAB">
        <w:rPr>
          <w:color w:val="000000" w:themeColor="text1"/>
        </w:rPr>
        <w:t xml:space="preserve"> </w:t>
      </w:r>
    </w:p>
    <w:p w14:paraId="6E0D8192" w14:textId="77777777" w:rsidR="005B76DA" w:rsidRPr="00BA7F22" w:rsidRDefault="005B76DA" w:rsidP="001713AF"/>
    <w:p w14:paraId="6E0D8193" w14:textId="77777777" w:rsidR="0097107D" w:rsidRPr="00BA7F22" w:rsidRDefault="0097107D" w:rsidP="001713AF"/>
    <w:p w14:paraId="6E0D8194" w14:textId="77777777" w:rsidR="0097107D" w:rsidRPr="00BA7F22" w:rsidRDefault="0097107D" w:rsidP="001713AF"/>
    <w:p w14:paraId="6E0D8195" w14:textId="77777777" w:rsidR="0097107D" w:rsidRPr="00486D31" w:rsidRDefault="0097107D" w:rsidP="001713AF">
      <w:pPr>
        <w:rPr>
          <w:highlight w:val="yellow"/>
        </w:rPr>
        <w:sectPr w:rsidR="0097107D" w:rsidRPr="00486D31" w:rsidSect="005B76DA">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cols w:space="708"/>
          <w:docGrid w:linePitch="360"/>
        </w:sectPr>
      </w:pPr>
    </w:p>
    <w:p w14:paraId="6E0D8196" w14:textId="77777777" w:rsidR="00F223EF" w:rsidRDefault="00F223EF" w:rsidP="005B76DA">
      <w:pPr>
        <w:pStyle w:val="Heading1"/>
        <w:ind w:left="432" w:hanging="432"/>
        <w:jc w:val="center"/>
        <w:rPr>
          <w:sz w:val="28"/>
        </w:rPr>
      </w:pPr>
      <w:bookmarkStart w:id="3" w:name="_Toc427684451"/>
      <w:r w:rsidRPr="005B76DA">
        <w:rPr>
          <w:sz w:val="28"/>
        </w:rPr>
        <w:lastRenderedPageBreak/>
        <w:t xml:space="preserve">Table of </w:t>
      </w:r>
      <w:r w:rsidR="001D378C" w:rsidRPr="005B76DA">
        <w:rPr>
          <w:sz w:val="28"/>
        </w:rPr>
        <w:t>c</w:t>
      </w:r>
      <w:r w:rsidRPr="005B76DA">
        <w:rPr>
          <w:sz w:val="28"/>
        </w:rPr>
        <w:t>ontents</w:t>
      </w:r>
      <w:bookmarkEnd w:id="3"/>
    </w:p>
    <w:p w14:paraId="6E0D8197" w14:textId="77777777" w:rsidR="009934EA" w:rsidRDefault="007907A6">
      <w:pPr>
        <w:pStyle w:val="TOC1"/>
        <w:rPr>
          <w:rFonts w:eastAsiaTheme="minorEastAsia" w:cstheme="minorBidi"/>
          <w:b w:val="0"/>
          <w:bCs w:val="0"/>
          <w:caps w:val="0"/>
          <w:noProof/>
          <w:sz w:val="22"/>
          <w:szCs w:val="22"/>
          <w:lang w:val="en-NZ" w:eastAsia="en-NZ" w:bidi="ar-SA"/>
        </w:rPr>
      </w:pPr>
      <w:r>
        <w:rPr>
          <w:lang w:bidi="ar-SA"/>
        </w:rPr>
        <w:fldChar w:fldCharType="begin"/>
      </w:r>
      <w:r>
        <w:rPr>
          <w:lang w:bidi="ar-SA"/>
        </w:rPr>
        <w:instrText xml:space="preserve"> TOC \o "1-3" \h \z \u </w:instrText>
      </w:r>
      <w:r>
        <w:rPr>
          <w:lang w:bidi="ar-SA"/>
        </w:rPr>
        <w:fldChar w:fldCharType="separate"/>
      </w:r>
      <w:hyperlink w:anchor="_Toc427684450" w:history="1">
        <w:r w:rsidR="009934EA" w:rsidRPr="0041065F">
          <w:rPr>
            <w:rStyle w:val="Hyperlink"/>
            <w:noProof/>
          </w:rPr>
          <w:t>Executive summary</w:t>
        </w:r>
        <w:r w:rsidR="009934EA">
          <w:rPr>
            <w:noProof/>
            <w:webHidden/>
          </w:rPr>
          <w:tab/>
        </w:r>
        <w:r w:rsidR="009934EA">
          <w:rPr>
            <w:noProof/>
            <w:webHidden/>
          </w:rPr>
          <w:fldChar w:fldCharType="begin"/>
        </w:r>
        <w:r w:rsidR="009934EA">
          <w:rPr>
            <w:noProof/>
            <w:webHidden/>
          </w:rPr>
          <w:instrText xml:space="preserve"> PAGEREF _Toc427684450 \h </w:instrText>
        </w:r>
        <w:r w:rsidR="009934EA">
          <w:rPr>
            <w:noProof/>
            <w:webHidden/>
          </w:rPr>
        </w:r>
        <w:r w:rsidR="009934EA">
          <w:rPr>
            <w:noProof/>
            <w:webHidden/>
          </w:rPr>
          <w:fldChar w:fldCharType="separate"/>
        </w:r>
        <w:r w:rsidR="009934EA">
          <w:rPr>
            <w:noProof/>
            <w:webHidden/>
          </w:rPr>
          <w:t>i</w:t>
        </w:r>
        <w:r w:rsidR="009934EA">
          <w:rPr>
            <w:noProof/>
            <w:webHidden/>
          </w:rPr>
          <w:fldChar w:fldCharType="end"/>
        </w:r>
      </w:hyperlink>
    </w:p>
    <w:p w14:paraId="6E0D8198" w14:textId="77777777" w:rsidR="009934EA" w:rsidRDefault="00FB77B3">
      <w:pPr>
        <w:pStyle w:val="TOC1"/>
        <w:rPr>
          <w:rFonts w:eastAsiaTheme="minorEastAsia" w:cstheme="minorBidi"/>
          <w:b w:val="0"/>
          <w:bCs w:val="0"/>
          <w:caps w:val="0"/>
          <w:noProof/>
          <w:sz w:val="22"/>
          <w:szCs w:val="22"/>
          <w:lang w:val="en-NZ" w:eastAsia="en-NZ" w:bidi="ar-SA"/>
        </w:rPr>
      </w:pPr>
      <w:hyperlink w:anchor="_Toc427684451" w:history="1">
        <w:r w:rsidR="009934EA" w:rsidRPr="0041065F">
          <w:rPr>
            <w:rStyle w:val="Hyperlink"/>
            <w:noProof/>
          </w:rPr>
          <w:t>Table of contents</w:t>
        </w:r>
        <w:r w:rsidR="009934EA">
          <w:rPr>
            <w:noProof/>
            <w:webHidden/>
          </w:rPr>
          <w:tab/>
        </w:r>
        <w:r w:rsidR="009934EA">
          <w:rPr>
            <w:noProof/>
            <w:webHidden/>
          </w:rPr>
          <w:fldChar w:fldCharType="begin"/>
        </w:r>
        <w:r w:rsidR="009934EA">
          <w:rPr>
            <w:noProof/>
            <w:webHidden/>
          </w:rPr>
          <w:instrText xml:space="preserve"> PAGEREF _Toc427684451 \h </w:instrText>
        </w:r>
        <w:r w:rsidR="009934EA">
          <w:rPr>
            <w:noProof/>
            <w:webHidden/>
          </w:rPr>
        </w:r>
        <w:r w:rsidR="009934EA">
          <w:rPr>
            <w:noProof/>
            <w:webHidden/>
          </w:rPr>
          <w:fldChar w:fldCharType="separate"/>
        </w:r>
        <w:r w:rsidR="009934EA">
          <w:rPr>
            <w:noProof/>
            <w:webHidden/>
          </w:rPr>
          <w:t>1</w:t>
        </w:r>
        <w:r w:rsidR="009934EA">
          <w:rPr>
            <w:noProof/>
            <w:webHidden/>
          </w:rPr>
          <w:fldChar w:fldCharType="end"/>
        </w:r>
      </w:hyperlink>
    </w:p>
    <w:p w14:paraId="6E0D8199" w14:textId="77777777" w:rsidR="009934EA" w:rsidRDefault="00FB77B3">
      <w:pPr>
        <w:pStyle w:val="TOC1"/>
        <w:rPr>
          <w:rFonts w:eastAsiaTheme="minorEastAsia" w:cstheme="minorBidi"/>
          <w:b w:val="0"/>
          <w:bCs w:val="0"/>
          <w:caps w:val="0"/>
          <w:noProof/>
          <w:sz w:val="22"/>
          <w:szCs w:val="22"/>
          <w:lang w:val="en-NZ" w:eastAsia="en-NZ" w:bidi="ar-SA"/>
        </w:rPr>
      </w:pPr>
      <w:hyperlink w:anchor="_Toc427684452" w:history="1">
        <w:r w:rsidR="009934EA" w:rsidRPr="0041065F">
          <w:rPr>
            <w:rStyle w:val="Hyperlink"/>
            <w:noProof/>
          </w:rPr>
          <w:t>1</w:t>
        </w:r>
        <w:r w:rsidR="009934EA">
          <w:rPr>
            <w:rFonts w:eastAsiaTheme="minorEastAsia" w:cstheme="minorBidi"/>
            <w:b w:val="0"/>
            <w:bCs w:val="0"/>
            <w:caps w:val="0"/>
            <w:noProof/>
            <w:sz w:val="22"/>
            <w:szCs w:val="22"/>
            <w:lang w:val="en-NZ" w:eastAsia="en-NZ" w:bidi="ar-SA"/>
          </w:rPr>
          <w:tab/>
        </w:r>
        <w:r w:rsidR="009934EA" w:rsidRPr="0041065F">
          <w:rPr>
            <w:rStyle w:val="Hyperlink"/>
            <w:noProof/>
          </w:rPr>
          <w:t>Introduction</w:t>
        </w:r>
        <w:r w:rsidR="009934EA">
          <w:rPr>
            <w:noProof/>
            <w:webHidden/>
          </w:rPr>
          <w:tab/>
        </w:r>
        <w:r w:rsidR="009934EA">
          <w:rPr>
            <w:noProof/>
            <w:webHidden/>
          </w:rPr>
          <w:fldChar w:fldCharType="begin"/>
        </w:r>
        <w:r w:rsidR="009934EA">
          <w:rPr>
            <w:noProof/>
            <w:webHidden/>
          </w:rPr>
          <w:instrText xml:space="preserve"> PAGEREF _Toc427684452 \h </w:instrText>
        </w:r>
        <w:r w:rsidR="009934EA">
          <w:rPr>
            <w:noProof/>
            <w:webHidden/>
          </w:rPr>
        </w:r>
        <w:r w:rsidR="009934EA">
          <w:rPr>
            <w:noProof/>
            <w:webHidden/>
          </w:rPr>
          <w:fldChar w:fldCharType="separate"/>
        </w:r>
        <w:r w:rsidR="009934EA">
          <w:rPr>
            <w:noProof/>
            <w:webHidden/>
          </w:rPr>
          <w:t>2</w:t>
        </w:r>
        <w:r w:rsidR="009934EA">
          <w:rPr>
            <w:noProof/>
            <w:webHidden/>
          </w:rPr>
          <w:fldChar w:fldCharType="end"/>
        </w:r>
      </w:hyperlink>
    </w:p>
    <w:p w14:paraId="6E0D819A"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53" w:history="1">
        <w:r w:rsidR="009934EA" w:rsidRPr="0041065F">
          <w:rPr>
            <w:rStyle w:val="Hyperlink"/>
            <w:noProof/>
          </w:rPr>
          <w:t>1.1</w:t>
        </w:r>
        <w:r w:rsidR="009934EA">
          <w:rPr>
            <w:rFonts w:eastAsiaTheme="minorEastAsia" w:cstheme="minorBidi"/>
            <w:smallCaps w:val="0"/>
            <w:noProof/>
            <w:sz w:val="22"/>
            <w:szCs w:val="22"/>
            <w:lang w:val="en-NZ" w:eastAsia="en-NZ" w:bidi="ar-SA"/>
          </w:rPr>
          <w:tab/>
        </w:r>
        <w:r w:rsidR="009934EA" w:rsidRPr="0041065F">
          <w:rPr>
            <w:rStyle w:val="Hyperlink"/>
            <w:noProof/>
          </w:rPr>
          <w:t>Objectives of the assessment</w:t>
        </w:r>
        <w:r w:rsidR="009934EA">
          <w:rPr>
            <w:noProof/>
            <w:webHidden/>
          </w:rPr>
          <w:tab/>
        </w:r>
        <w:r w:rsidR="009934EA">
          <w:rPr>
            <w:noProof/>
            <w:webHidden/>
          </w:rPr>
          <w:fldChar w:fldCharType="begin"/>
        </w:r>
        <w:r w:rsidR="009934EA">
          <w:rPr>
            <w:noProof/>
            <w:webHidden/>
          </w:rPr>
          <w:instrText xml:space="preserve"> PAGEREF _Toc427684453 \h </w:instrText>
        </w:r>
        <w:r w:rsidR="009934EA">
          <w:rPr>
            <w:noProof/>
            <w:webHidden/>
          </w:rPr>
        </w:r>
        <w:r w:rsidR="009934EA">
          <w:rPr>
            <w:noProof/>
            <w:webHidden/>
          </w:rPr>
          <w:fldChar w:fldCharType="separate"/>
        </w:r>
        <w:r w:rsidR="009934EA">
          <w:rPr>
            <w:noProof/>
            <w:webHidden/>
          </w:rPr>
          <w:t>2</w:t>
        </w:r>
        <w:r w:rsidR="009934EA">
          <w:rPr>
            <w:noProof/>
            <w:webHidden/>
          </w:rPr>
          <w:fldChar w:fldCharType="end"/>
        </w:r>
      </w:hyperlink>
    </w:p>
    <w:p w14:paraId="6E0D819B" w14:textId="77777777" w:rsidR="009934EA" w:rsidRDefault="00FB77B3">
      <w:pPr>
        <w:pStyle w:val="TOC1"/>
        <w:rPr>
          <w:rFonts w:eastAsiaTheme="minorEastAsia" w:cstheme="minorBidi"/>
          <w:b w:val="0"/>
          <w:bCs w:val="0"/>
          <w:caps w:val="0"/>
          <w:noProof/>
          <w:sz w:val="22"/>
          <w:szCs w:val="22"/>
          <w:lang w:val="en-NZ" w:eastAsia="en-NZ" w:bidi="ar-SA"/>
        </w:rPr>
      </w:pPr>
      <w:hyperlink w:anchor="_Toc427684454" w:history="1">
        <w:r w:rsidR="009934EA" w:rsidRPr="0041065F">
          <w:rPr>
            <w:rStyle w:val="Hyperlink"/>
            <w:noProof/>
          </w:rPr>
          <w:t>2</w:t>
        </w:r>
        <w:r w:rsidR="009934EA">
          <w:rPr>
            <w:rFonts w:eastAsiaTheme="minorEastAsia" w:cstheme="minorBidi"/>
            <w:b w:val="0"/>
            <w:bCs w:val="0"/>
            <w:caps w:val="0"/>
            <w:noProof/>
            <w:sz w:val="22"/>
            <w:szCs w:val="22"/>
            <w:lang w:val="en-NZ" w:eastAsia="en-NZ" w:bidi="ar-SA"/>
          </w:rPr>
          <w:tab/>
        </w:r>
        <w:r w:rsidR="009934EA" w:rsidRPr="0041065F">
          <w:rPr>
            <w:rStyle w:val="Hyperlink"/>
            <w:noProof/>
          </w:rPr>
          <w:t>Food technology assessment</w:t>
        </w:r>
        <w:r w:rsidR="009934EA">
          <w:rPr>
            <w:noProof/>
            <w:webHidden/>
          </w:rPr>
          <w:tab/>
        </w:r>
        <w:r w:rsidR="009934EA">
          <w:rPr>
            <w:noProof/>
            <w:webHidden/>
          </w:rPr>
          <w:fldChar w:fldCharType="begin"/>
        </w:r>
        <w:r w:rsidR="009934EA">
          <w:rPr>
            <w:noProof/>
            <w:webHidden/>
          </w:rPr>
          <w:instrText xml:space="preserve"> PAGEREF _Toc427684454 \h </w:instrText>
        </w:r>
        <w:r w:rsidR="009934EA">
          <w:rPr>
            <w:noProof/>
            <w:webHidden/>
          </w:rPr>
        </w:r>
        <w:r w:rsidR="009934EA">
          <w:rPr>
            <w:noProof/>
            <w:webHidden/>
          </w:rPr>
          <w:fldChar w:fldCharType="separate"/>
        </w:r>
        <w:r w:rsidR="009934EA">
          <w:rPr>
            <w:noProof/>
            <w:webHidden/>
          </w:rPr>
          <w:t>2</w:t>
        </w:r>
        <w:r w:rsidR="009934EA">
          <w:rPr>
            <w:noProof/>
            <w:webHidden/>
          </w:rPr>
          <w:fldChar w:fldCharType="end"/>
        </w:r>
      </w:hyperlink>
    </w:p>
    <w:p w14:paraId="6E0D819C"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55" w:history="1">
        <w:r w:rsidR="009934EA" w:rsidRPr="0041065F">
          <w:rPr>
            <w:rStyle w:val="Hyperlink"/>
            <w:noProof/>
          </w:rPr>
          <w:t>2.1</w:t>
        </w:r>
        <w:r w:rsidR="009934EA">
          <w:rPr>
            <w:rFonts w:eastAsiaTheme="minorEastAsia" w:cstheme="minorBidi"/>
            <w:smallCaps w:val="0"/>
            <w:noProof/>
            <w:sz w:val="22"/>
            <w:szCs w:val="22"/>
            <w:lang w:val="en-NZ" w:eastAsia="en-NZ" w:bidi="ar-SA"/>
          </w:rPr>
          <w:tab/>
        </w:r>
        <w:r w:rsidR="009934EA" w:rsidRPr="0041065F">
          <w:rPr>
            <w:rStyle w:val="Hyperlink"/>
            <w:noProof/>
          </w:rPr>
          <w:t>Characterisation of acesulphame potassium</w:t>
        </w:r>
        <w:r w:rsidR="009934EA">
          <w:rPr>
            <w:noProof/>
            <w:webHidden/>
          </w:rPr>
          <w:tab/>
        </w:r>
        <w:r w:rsidR="009934EA">
          <w:rPr>
            <w:noProof/>
            <w:webHidden/>
          </w:rPr>
          <w:fldChar w:fldCharType="begin"/>
        </w:r>
        <w:r w:rsidR="009934EA">
          <w:rPr>
            <w:noProof/>
            <w:webHidden/>
          </w:rPr>
          <w:instrText xml:space="preserve"> PAGEREF _Toc427684455 \h </w:instrText>
        </w:r>
        <w:r w:rsidR="009934EA">
          <w:rPr>
            <w:noProof/>
            <w:webHidden/>
          </w:rPr>
        </w:r>
        <w:r w:rsidR="009934EA">
          <w:rPr>
            <w:noProof/>
            <w:webHidden/>
          </w:rPr>
          <w:fldChar w:fldCharType="separate"/>
        </w:r>
        <w:r w:rsidR="009934EA">
          <w:rPr>
            <w:noProof/>
            <w:webHidden/>
          </w:rPr>
          <w:t>2</w:t>
        </w:r>
        <w:r w:rsidR="009934EA">
          <w:rPr>
            <w:noProof/>
            <w:webHidden/>
          </w:rPr>
          <w:fldChar w:fldCharType="end"/>
        </w:r>
      </w:hyperlink>
    </w:p>
    <w:p w14:paraId="6E0D819D"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56" w:history="1">
        <w:r w:rsidR="009934EA" w:rsidRPr="0041065F">
          <w:rPr>
            <w:rStyle w:val="Hyperlink"/>
            <w:noProof/>
          </w:rPr>
          <w:t>2.1.1</w:t>
        </w:r>
        <w:r w:rsidR="009934EA">
          <w:rPr>
            <w:rFonts w:eastAsiaTheme="minorEastAsia" w:cstheme="minorBidi"/>
            <w:i w:val="0"/>
            <w:iCs w:val="0"/>
            <w:noProof/>
            <w:sz w:val="22"/>
            <w:szCs w:val="22"/>
            <w:lang w:val="en-NZ" w:eastAsia="en-NZ" w:bidi="ar-SA"/>
          </w:rPr>
          <w:tab/>
        </w:r>
        <w:r w:rsidR="009934EA" w:rsidRPr="0041065F">
          <w:rPr>
            <w:rStyle w:val="Hyperlink"/>
            <w:noProof/>
          </w:rPr>
          <w:t>Identity of the food additive</w:t>
        </w:r>
        <w:r w:rsidR="009934EA">
          <w:rPr>
            <w:noProof/>
            <w:webHidden/>
          </w:rPr>
          <w:tab/>
        </w:r>
        <w:r w:rsidR="009934EA">
          <w:rPr>
            <w:noProof/>
            <w:webHidden/>
          </w:rPr>
          <w:fldChar w:fldCharType="begin"/>
        </w:r>
        <w:r w:rsidR="009934EA">
          <w:rPr>
            <w:noProof/>
            <w:webHidden/>
          </w:rPr>
          <w:instrText xml:space="preserve"> PAGEREF _Toc427684456 \h </w:instrText>
        </w:r>
        <w:r w:rsidR="009934EA">
          <w:rPr>
            <w:noProof/>
            <w:webHidden/>
          </w:rPr>
        </w:r>
        <w:r w:rsidR="009934EA">
          <w:rPr>
            <w:noProof/>
            <w:webHidden/>
          </w:rPr>
          <w:fldChar w:fldCharType="separate"/>
        </w:r>
        <w:r w:rsidR="009934EA">
          <w:rPr>
            <w:noProof/>
            <w:webHidden/>
          </w:rPr>
          <w:t>2</w:t>
        </w:r>
        <w:r w:rsidR="009934EA">
          <w:rPr>
            <w:noProof/>
            <w:webHidden/>
          </w:rPr>
          <w:fldChar w:fldCharType="end"/>
        </w:r>
      </w:hyperlink>
    </w:p>
    <w:p w14:paraId="6E0D819E"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57" w:history="1">
        <w:r w:rsidR="009934EA" w:rsidRPr="0041065F">
          <w:rPr>
            <w:rStyle w:val="Hyperlink"/>
            <w:noProof/>
          </w:rPr>
          <w:t>2.1.2</w:t>
        </w:r>
        <w:r w:rsidR="009934EA">
          <w:rPr>
            <w:rFonts w:eastAsiaTheme="minorEastAsia" w:cstheme="minorBidi"/>
            <w:i w:val="0"/>
            <w:iCs w:val="0"/>
            <w:noProof/>
            <w:sz w:val="22"/>
            <w:szCs w:val="22"/>
            <w:lang w:val="en-NZ" w:eastAsia="en-NZ" w:bidi="ar-SA"/>
          </w:rPr>
          <w:tab/>
        </w:r>
        <w:r w:rsidR="009934EA" w:rsidRPr="0041065F">
          <w:rPr>
            <w:rStyle w:val="Hyperlink"/>
            <w:noProof/>
          </w:rPr>
          <w:t>Physical and chemical properties</w:t>
        </w:r>
        <w:r w:rsidR="009934EA">
          <w:rPr>
            <w:noProof/>
            <w:webHidden/>
          </w:rPr>
          <w:tab/>
        </w:r>
        <w:r w:rsidR="009934EA">
          <w:rPr>
            <w:noProof/>
            <w:webHidden/>
          </w:rPr>
          <w:fldChar w:fldCharType="begin"/>
        </w:r>
        <w:r w:rsidR="009934EA">
          <w:rPr>
            <w:noProof/>
            <w:webHidden/>
          </w:rPr>
          <w:instrText xml:space="preserve"> PAGEREF _Toc427684457 \h </w:instrText>
        </w:r>
        <w:r w:rsidR="009934EA">
          <w:rPr>
            <w:noProof/>
            <w:webHidden/>
          </w:rPr>
        </w:r>
        <w:r w:rsidR="009934EA">
          <w:rPr>
            <w:noProof/>
            <w:webHidden/>
          </w:rPr>
          <w:fldChar w:fldCharType="separate"/>
        </w:r>
        <w:r w:rsidR="009934EA">
          <w:rPr>
            <w:noProof/>
            <w:webHidden/>
          </w:rPr>
          <w:t>3</w:t>
        </w:r>
        <w:r w:rsidR="009934EA">
          <w:rPr>
            <w:noProof/>
            <w:webHidden/>
          </w:rPr>
          <w:fldChar w:fldCharType="end"/>
        </w:r>
      </w:hyperlink>
    </w:p>
    <w:p w14:paraId="6E0D819F"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58" w:history="1">
        <w:r w:rsidR="009934EA" w:rsidRPr="0041065F">
          <w:rPr>
            <w:rStyle w:val="Hyperlink"/>
            <w:noProof/>
          </w:rPr>
          <w:t>2.2</w:t>
        </w:r>
        <w:r w:rsidR="009934EA">
          <w:rPr>
            <w:rFonts w:eastAsiaTheme="minorEastAsia" w:cstheme="minorBidi"/>
            <w:smallCaps w:val="0"/>
            <w:noProof/>
            <w:sz w:val="22"/>
            <w:szCs w:val="22"/>
            <w:lang w:val="en-NZ" w:eastAsia="en-NZ" w:bidi="ar-SA"/>
          </w:rPr>
          <w:tab/>
        </w:r>
        <w:r w:rsidR="009934EA" w:rsidRPr="0041065F">
          <w:rPr>
            <w:rStyle w:val="Hyperlink"/>
            <w:noProof/>
          </w:rPr>
          <w:t>Production of acesulphame potassium</w:t>
        </w:r>
        <w:r w:rsidR="009934EA">
          <w:rPr>
            <w:noProof/>
            <w:webHidden/>
          </w:rPr>
          <w:tab/>
        </w:r>
        <w:r w:rsidR="009934EA">
          <w:rPr>
            <w:noProof/>
            <w:webHidden/>
          </w:rPr>
          <w:fldChar w:fldCharType="begin"/>
        </w:r>
        <w:r w:rsidR="009934EA">
          <w:rPr>
            <w:noProof/>
            <w:webHidden/>
          </w:rPr>
          <w:instrText xml:space="preserve"> PAGEREF _Toc427684458 \h </w:instrText>
        </w:r>
        <w:r w:rsidR="009934EA">
          <w:rPr>
            <w:noProof/>
            <w:webHidden/>
          </w:rPr>
        </w:r>
        <w:r w:rsidR="009934EA">
          <w:rPr>
            <w:noProof/>
            <w:webHidden/>
          </w:rPr>
          <w:fldChar w:fldCharType="separate"/>
        </w:r>
        <w:r w:rsidR="009934EA">
          <w:rPr>
            <w:noProof/>
            <w:webHidden/>
          </w:rPr>
          <w:t>3</w:t>
        </w:r>
        <w:r w:rsidR="009934EA">
          <w:rPr>
            <w:noProof/>
            <w:webHidden/>
          </w:rPr>
          <w:fldChar w:fldCharType="end"/>
        </w:r>
      </w:hyperlink>
    </w:p>
    <w:p w14:paraId="6E0D81A0"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59" w:history="1">
        <w:r w:rsidR="009934EA" w:rsidRPr="0041065F">
          <w:rPr>
            <w:rStyle w:val="Hyperlink"/>
            <w:noProof/>
          </w:rPr>
          <w:t>2.3</w:t>
        </w:r>
        <w:r w:rsidR="009934EA">
          <w:rPr>
            <w:rFonts w:eastAsiaTheme="minorEastAsia" w:cstheme="minorBidi"/>
            <w:smallCaps w:val="0"/>
            <w:noProof/>
            <w:sz w:val="22"/>
            <w:szCs w:val="22"/>
            <w:lang w:val="en-NZ" w:eastAsia="en-NZ" w:bidi="ar-SA"/>
          </w:rPr>
          <w:tab/>
        </w:r>
        <w:r w:rsidR="009934EA" w:rsidRPr="0041065F">
          <w:rPr>
            <w:rStyle w:val="Hyperlink"/>
            <w:noProof/>
          </w:rPr>
          <w:t>Specifications</w:t>
        </w:r>
        <w:r w:rsidR="009934EA">
          <w:rPr>
            <w:noProof/>
            <w:webHidden/>
          </w:rPr>
          <w:tab/>
        </w:r>
        <w:r w:rsidR="009934EA">
          <w:rPr>
            <w:noProof/>
            <w:webHidden/>
          </w:rPr>
          <w:fldChar w:fldCharType="begin"/>
        </w:r>
        <w:r w:rsidR="009934EA">
          <w:rPr>
            <w:noProof/>
            <w:webHidden/>
          </w:rPr>
          <w:instrText xml:space="preserve"> PAGEREF _Toc427684459 \h </w:instrText>
        </w:r>
        <w:r w:rsidR="009934EA">
          <w:rPr>
            <w:noProof/>
            <w:webHidden/>
          </w:rPr>
        </w:r>
        <w:r w:rsidR="009934EA">
          <w:rPr>
            <w:noProof/>
            <w:webHidden/>
          </w:rPr>
          <w:fldChar w:fldCharType="separate"/>
        </w:r>
        <w:r w:rsidR="009934EA">
          <w:rPr>
            <w:noProof/>
            <w:webHidden/>
          </w:rPr>
          <w:t>3</w:t>
        </w:r>
        <w:r w:rsidR="009934EA">
          <w:rPr>
            <w:noProof/>
            <w:webHidden/>
          </w:rPr>
          <w:fldChar w:fldCharType="end"/>
        </w:r>
      </w:hyperlink>
    </w:p>
    <w:p w14:paraId="6E0D81A1"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0" w:history="1">
        <w:r w:rsidR="009934EA" w:rsidRPr="0041065F">
          <w:rPr>
            <w:rStyle w:val="Hyperlink"/>
            <w:noProof/>
          </w:rPr>
          <w:t>2.4</w:t>
        </w:r>
        <w:r w:rsidR="009934EA">
          <w:rPr>
            <w:rFonts w:eastAsiaTheme="minorEastAsia" w:cstheme="minorBidi"/>
            <w:smallCaps w:val="0"/>
            <w:noProof/>
            <w:sz w:val="22"/>
            <w:szCs w:val="22"/>
            <w:lang w:val="en-NZ" w:eastAsia="en-NZ" w:bidi="ar-SA"/>
          </w:rPr>
          <w:tab/>
        </w:r>
        <w:r w:rsidR="009934EA" w:rsidRPr="0041065F">
          <w:rPr>
            <w:rStyle w:val="Hyperlink"/>
            <w:noProof/>
          </w:rPr>
          <w:t>Analytical methods</w:t>
        </w:r>
        <w:r w:rsidR="009934EA">
          <w:rPr>
            <w:noProof/>
            <w:webHidden/>
          </w:rPr>
          <w:tab/>
        </w:r>
        <w:r w:rsidR="009934EA">
          <w:rPr>
            <w:noProof/>
            <w:webHidden/>
          </w:rPr>
          <w:fldChar w:fldCharType="begin"/>
        </w:r>
        <w:r w:rsidR="009934EA">
          <w:rPr>
            <w:noProof/>
            <w:webHidden/>
          </w:rPr>
          <w:instrText xml:space="preserve"> PAGEREF _Toc427684460 \h </w:instrText>
        </w:r>
        <w:r w:rsidR="009934EA">
          <w:rPr>
            <w:noProof/>
            <w:webHidden/>
          </w:rPr>
        </w:r>
        <w:r w:rsidR="009934EA">
          <w:rPr>
            <w:noProof/>
            <w:webHidden/>
          </w:rPr>
          <w:fldChar w:fldCharType="separate"/>
        </w:r>
        <w:r w:rsidR="009934EA">
          <w:rPr>
            <w:noProof/>
            <w:webHidden/>
          </w:rPr>
          <w:t>3</w:t>
        </w:r>
        <w:r w:rsidR="009934EA">
          <w:rPr>
            <w:noProof/>
            <w:webHidden/>
          </w:rPr>
          <w:fldChar w:fldCharType="end"/>
        </w:r>
      </w:hyperlink>
    </w:p>
    <w:p w14:paraId="6E0D81A2"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1" w:history="1">
        <w:r w:rsidR="009934EA" w:rsidRPr="0041065F">
          <w:rPr>
            <w:rStyle w:val="Hyperlink"/>
            <w:noProof/>
          </w:rPr>
          <w:t>2.5</w:t>
        </w:r>
        <w:r w:rsidR="009934EA">
          <w:rPr>
            <w:rFonts w:eastAsiaTheme="minorEastAsia" w:cstheme="minorBidi"/>
            <w:smallCaps w:val="0"/>
            <w:noProof/>
            <w:sz w:val="22"/>
            <w:szCs w:val="22"/>
            <w:lang w:val="en-NZ" w:eastAsia="en-NZ" w:bidi="ar-SA"/>
          </w:rPr>
          <w:tab/>
        </w:r>
        <w:r w:rsidR="009934EA" w:rsidRPr="0041065F">
          <w:rPr>
            <w:rStyle w:val="Hyperlink"/>
            <w:noProof/>
          </w:rPr>
          <w:t>Technological function</w:t>
        </w:r>
        <w:r w:rsidR="009934EA">
          <w:rPr>
            <w:noProof/>
            <w:webHidden/>
          </w:rPr>
          <w:tab/>
        </w:r>
        <w:r w:rsidR="009934EA">
          <w:rPr>
            <w:noProof/>
            <w:webHidden/>
          </w:rPr>
          <w:fldChar w:fldCharType="begin"/>
        </w:r>
        <w:r w:rsidR="009934EA">
          <w:rPr>
            <w:noProof/>
            <w:webHidden/>
          </w:rPr>
          <w:instrText xml:space="preserve"> PAGEREF _Toc427684461 \h </w:instrText>
        </w:r>
        <w:r w:rsidR="009934EA">
          <w:rPr>
            <w:noProof/>
            <w:webHidden/>
          </w:rPr>
        </w:r>
        <w:r w:rsidR="009934EA">
          <w:rPr>
            <w:noProof/>
            <w:webHidden/>
          </w:rPr>
          <w:fldChar w:fldCharType="separate"/>
        </w:r>
        <w:r w:rsidR="009934EA">
          <w:rPr>
            <w:noProof/>
            <w:webHidden/>
          </w:rPr>
          <w:t>3</w:t>
        </w:r>
        <w:r w:rsidR="009934EA">
          <w:rPr>
            <w:noProof/>
            <w:webHidden/>
          </w:rPr>
          <w:fldChar w:fldCharType="end"/>
        </w:r>
      </w:hyperlink>
    </w:p>
    <w:p w14:paraId="6E0D81A3"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62" w:history="1">
        <w:r w:rsidR="009934EA" w:rsidRPr="0041065F">
          <w:rPr>
            <w:rStyle w:val="Hyperlink"/>
            <w:noProof/>
          </w:rPr>
          <w:t>2.5.1</w:t>
        </w:r>
        <w:r w:rsidR="009934EA">
          <w:rPr>
            <w:rFonts w:eastAsiaTheme="minorEastAsia" w:cstheme="minorBidi"/>
            <w:i w:val="0"/>
            <w:iCs w:val="0"/>
            <w:noProof/>
            <w:sz w:val="22"/>
            <w:szCs w:val="22"/>
            <w:lang w:val="en-NZ" w:eastAsia="en-NZ" w:bidi="ar-SA"/>
          </w:rPr>
          <w:tab/>
        </w:r>
        <w:r w:rsidR="009934EA" w:rsidRPr="0041065F">
          <w:rPr>
            <w:rStyle w:val="Hyperlink"/>
            <w:noProof/>
          </w:rPr>
          <w:t>Use in chewing gum</w:t>
        </w:r>
        <w:r w:rsidR="009934EA">
          <w:rPr>
            <w:noProof/>
            <w:webHidden/>
          </w:rPr>
          <w:tab/>
        </w:r>
        <w:r w:rsidR="009934EA">
          <w:rPr>
            <w:noProof/>
            <w:webHidden/>
          </w:rPr>
          <w:fldChar w:fldCharType="begin"/>
        </w:r>
        <w:r w:rsidR="009934EA">
          <w:rPr>
            <w:noProof/>
            <w:webHidden/>
          </w:rPr>
          <w:instrText xml:space="preserve"> PAGEREF _Toc427684462 \h </w:instrText>
        </w:r>
        <w:r w:rsidR="009934EA">
          <w:rPr>
            <w:noProof/>
            <w:webHidden/>
          </w:rPr>
        </w:r>
        <w:r w:rsidR="009934EA">
          <w:rPr>
            <w:noProof/>
            <w:webHidden/>
          </w:rPr>
          <w:fldChar w:fldCharType="separate"/>
        </w:r>
        <w:r w:rsidR="009934EA">
          <w:rPr>
            <w:noProof/>
            <w:webHidden/>
          </w:rPr>
          <w:t>4</w:t>
        </w:r>
        <w:r w:rsidR="009934EA">
          <w:rPr>
            <w:noProof/>
            <w:webHidden/>
          </w:rPr>
          <w:fldChar w:fldCharType="end"/>
        </w:r>
      </w:hyperlink>
    </w:p>
    <w:p w14:paraId="6E0D81A4"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3" w:history="1">
        <w:r w:rsidR="009934EA" w:rsidRPr="0041065F">
          <w:rPr>
            <w:rStyle w:val="Hyperlink"/>
            <w:noProof/>
          </w:rPr>
          <w:t>2.6</w:t>
        </w:r>
        <w:r w:rsidR="009934EA">
          <w:rPr>
            <w:rFonts w:eastAsiaTheme="minorEastAsia" w:cstheme="minorBidi"/>
            <w:smallCaps w:val="0"/>
            <w:noProof/>
            <w:sz w:val="22"/>
            <w:szCs w:val="22"/>
            <w:lang w:val="en-NZ" w:eastAsia="en-NZ" w:bidi="ar-SA"/>
          </w:rPr>
          <w:tab/>
        </w:r>
        <w:r w:rsidR="009934EA" w:rsidRPr="0041065F">
          <w:rPr>
            <w:rStyle w:val="Hyperlink"/>
            <w:noProof/>
          </w:rPr>
          <w:t>Food technology conclusion</w:t>
        </w:r>
        <w:r w:rsidR="009934EA">
          <w:rPr>
            <w:noProof/>
            <w:webHidden/>
          </w:rPr>
          <w:tab/>
        </w:r>
        <w:r w:rsidR="009934EA">
          <w:rPr>
            <w:noProof/>
            <w:webHidden/>
          </w:rPr>
          <w:fldChar w:fldCharType="begin"/>
        </w:r>
        <w:r w:rsidR="009934EA">
          <w:rPr>
            <w:noProof/>
            <w:webHidden/>
          </w:rPr>
          <w:instrText xml:space="preserve"> PAGEREF _Toc427684463 \h </w:instrText>
        </w:r>
        <w:r w:rsidR="009934EA">
          <w:rPr>
            <w:noProof/>
            <w:webHidden/>
          </w:rPr>
        </w:r>
        <w:r w:rsidR="009934EA">
          <w:rPr>
            <w:noProof/>
            <w:webHidden/>
          </w:rPr>
          <w:fldChar w:fldCharType="separate"/>
        </w:r>
        <w:r w:rsidR="009934EA">
          <w:rPr>
            <w:noProof/>
            <w:webHidden/>
          </w:rPr>
          <w:t>4</w:t>
        </w:r>
        <w:r w:rsidR="009934EA">
          <w:rPr>
            <w:noProof/>
            <w:webHidden/>
          </w:rPr>
          <w:fldChar w:fldCharType="end"/>
        </w:r>
      </w:hyperlink>
    </w:p>
    <w:p w14:paraId="6E0D81A5" w14:textId="77777777" w:rsidR="009934EA" w:rsidRDefault="00FB77B3">
      <w:pPr>
        <w:pStyle w:val="TOC1"/>
        <w:rPr>
          <w:rFonts w:eastAsiaTheme="minorEastAsia" w:cstheme="minorBidi"/>
          <w:b w:val="0"/>
          <w:bCs w:val="0"/>
          <w:caps w:val="0"/>
          <w:noProof/>
          <w:sz w:val="22"/>
          <w:szCs w:val="22"/>
          <w:lang w:val="en-NZ" w:eastAsia="en-NZ" w:bidi="ar-SA"/>
        </w:rPr>
      </w:pPr>
      <w:hyperlink w:anchor="_Toc427684464" w:history="1">
        <w:r w:rsidR="009934EA" w:rsidRPr="0041065F">
          <w:rPr>
            <w:rStyle w:val="Hyperlink"/>
            <w:noProof/>
          </w:rPr>
          <w:t>3</w:t>
        </w:r>
        <w:r w:rsidR="009934EA">
          <w:rPr>
            <w:rFonts w:eastAsiaTheme="minorEastAsia" w:cstheme="minorBidi"/>
            <w:b w:val="0"/>
            <w:bCs w:val="0"/>
            <w:caps w:val="0"/>
            <w:noProof/>
            <w:sz w:val="22"/>
            <w:szCs w:val="22"/>
            <w:lang w:val="en-NZ" w:eastAsia="en-NZ" w:bidi="ar-SA"/>
          </w:rPr>
          <w:tab/>
        </w:r>
        <w:r w:rsidR="009934EA" w:rsidRPr="0041065F">
          <w:rPr>
            <w:rStyle w:val="Hyperlink"/>
            <w:noProof/>
          </w:rPr>
          <w:t>Hazard assessment</w:t>
        </w:r>
        <w:r w:rsidR="009934EA">
          <w:rPr>
            <w:noProof/>
            <w:webHidden/>
          </w:rPr>
          <w:tab/>
        </w:r>
        <w:r w:rsidR="009934EA">
          <w:rPr>
            <w:noProof/>
            <w:webHidden/>
          </w:rPr>
          <w:fldChar w:fldCharType="begin"/>
        </w:r>
        <w:r w:rsidR="009934EA">
          <w:rPr>
            <w:noProof/>
            <w:webHidden/>
          </w:rPr>
          <w:instrText xml:space="preserve"> PAGEREF _Toc427684464 \h </w:instrText>
        </w:r>
        <w:r w:rsidR="009934EA">
          <w:rPr>
            <w:noProof/>
            <w:webHidden/>
          </w:rPr>
        </w:r>
        <w:r w:rsidR="009934EA">
          <w:rPr>
            <w:noProof/>
            <w:webHidden/>
          </w:rPr>
          <w:fldChar w:fldCharType="separate"/>
        </w:r>
        <w:r w:rsidR="009934EA">
          <w:rPr>
            <w:noProof/>
            <w:webHidden/>
          </w:rPr>
          <w:t>5</w:t>
        </w:r>
        <w:r w:rsidR="009934EA">
          <w:rPr>
            <w:noProof/>
            <w:webHidden/>
          </w:rPr>
          <w:fldChar w:fldCharType="end"/>
        </w:r>
      </w:hyperlink>
    </w:p>
    <w:p w14:paraId="6E0D81A6"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5" w:history="1">
        <w:r w:rsidR="009934EA" w:rsidRPr="0041065F">
          <w:rPr>
            <w:rStyle w:val="Hyperlink"/>
            <w:noProof/>
          </w:rPr>
          <w:t>3.1</w:t>
        </w:r>
        <w:r w:rsidR="009934EA">
          <w:rPr>
            <w:rFonts w:eastAsiaTheme="minorEastAsia" w:cstheme="minorBidi"/>
            <w:smallCaps w:val="0"/>
            <w:noProof/>
            <w:sz w:val="22"/>
            <w:szCs w:val="22"/>
            <w:lang w:val="en-NZ" w:eastAsia="en-NZ" w:bidi="ar-SA"/>
          </w:rPr>
          <w:tab/>
        </w:r>
        <w:r w:rsidR="009934EA" w:rsidRPr="0041065F">
          <w:rPr>
            <w:rStyle w:val="Hyperlink"/>
            <w:noProof/>
          </w:rPr>
          <w:t>Background</w:t>
        </w:r>
        <w:r w:rsidR="009934EA">
          <w:rPr>
            <w:noProof/>
            <w:webHidden/>
          </w:rPr>
          <w:tab/>
        </w:r>
        <w:r w:rsidR="009934EA">
          <w:rPr>
            <w:noProof/>
            <w:webHidden/>
          </w:rPr>
          <w:fldChar w:fldCharType="begin"/>
        </w:r>
        <w:r w:rsidR="009934EA">
          <w:rPr>
            <w:noProof/>
            <w:webHidden/>
          </w:rPr>
          <w:instrText xml:space="preserve"> PAGEREF _Toc427684465 \h </w:instrText>
        </w:r>
        <w:r w:rsidR="009934EA">
          <w:rPr>
            <w:noProof/>
            <w:webHidden/>
          </w:rPr>
        </w:r>
        <w:r w:rsidR="009934EA">
          <w:rPr>
            <w:noProof/>
            <w:webHidden/>
          </w:rPr>
          <w:fldChar w:fldCharType="separate"/>
        </w:r>
        <w:r w:rsidR="009934EA">
          <w:rPr>
            <w:noProof/>
            <w:webHidden/>
          </w:rPr>
          <w:t>5</w:t>
        </w:r>
        <w:r w:rsidR="009934EA">
          <w:rPr>
            <w:noProof/>
            <w:webHidden/>
          </w:rPr>
          <w:fldChar w:fldCharType="end"/>
        </w:r>
      </w:hyperlink>
    </w:p>
    <w:p w14:paraId="6E0D81A7"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66" w:history="1">
        <w:r w:rsidR="009934EA" w:rsidRPr="0041065F">
          <w:rPr>
            <w:rStyle w:val="Hyperlink"/>
            <w:noProof/>
          </w:rPr>
          <w:t>3.1.1</w:t>
        </w:r>
        <w:r w:rsidR="009934EA">
          <w:rPr>
            <w:rFonts w:eastAsiaTheme="minorEastAsia" w:cstheme="minorBidi"/>
            <w:i w:val="0"/>
            <w:iCs w:val="0"/>
            <w:noProof/>
            <w:sz w:val="22"/>
            <w:szCs w:val="22"/>
            <w:lang w:val="en-NZ" w:eastAsia="en-NZ" w:bidi="ar-SA"/>
          </w:rPr>
          <w:tab/>
        </w:r>
        <w:r w:rsidR="009934EA" w:rsidRPr="0041065F">
          <w:rPr>
            <w:rStyle w:val="Hyperlink"/>
            <w:noProof/>
          </w:rPr>
          <w:t>Assessments by JECFA</w:t>
        </w:r>
        <w:r w:rsidR="009934EA">
          <w:rPr>
            <w:noProof/>
            <w:webHidden/>
          </w:rPr>
          <w:tab/>
        </w:r>
        <w:r w:rsidR="009934EA">
          <w:rPr>
            <w:noProof/>
            <w:webHidden/>
          </w:rPr>
          <w:fldChar w:fldCharType="begin"/>
        </w:r>
        <w:r w:rsidR="009934EA">
          <w:rPr>
            <w:noProof/>
            <w:webHidden/>
          </w:rPr>
          <w:instrText xml:space="preserve"> PAGEREF _Toc427684466 \h </w:instrText>
        </w:r>
        <w:r w:rsidR="009934EA">
          <w:rPr>
            <w:noProof/>
            <w:webHidden/>
          </w:rPr>
        </w:r>
        <w:r w:rsidR="009934EA">
          <w:rPr>
            <w:noProof/>
            <w:webHidden/>
          </w:rPr>
          <w:fldChar w:fldCharType="separate"/>
        </w:r>
        <w:r w:rsidR="009934EA">
          <w:rPr>
            <w:noProof/>
            <w:webHidden/>
          </w:rPr>
          <w:t>5</w:t>
        </w:r>
        <w:r w:rsidR="009934EA">
          <w:rPr>
            <w:noProof/>
            <w:webHidden/>
          </w:rPr>
          <w:fldChar w:fldCharType="end"/>
        </w:r>
      </w:hyperlink>
    </w:p>
    <w:p w14:paraId="6E0D81A8"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7" w:history="1">
        <w:r w:rsidR="009934EA" w:rsidRPr="0041065F">
          <w:rPr>
            <w:rStyle w:val="Hyperlink"/>
            <w:noProof/>
          </w:rPr>
          <w:t>3.2</w:t>
        </w:r>
        <w:r w:rsidR="009934EA">
          <w:rPr>
            <w:rFonts w:eastAsiaTheme="minorEastAsia" w:cstheme="minorBidi"/>
            <w:smallCaps w:val="0"/>
            <w:noProof/>
            <w:sz w:val="22"/>
            <w:szCs w:val="22"/>
            <w:lang w:val="en-NZ" w:eastAsia="en-NZ" w:bidi="ar-SA"/>
          </w:rPr>
          <w:tab/>
        </w:r>
        <w:r w:rsidR="009934EA" w:rsidRPr="0041065F">
          <w:rPr>
            <w:rStyle w:val="Hyperlink"/>
            <w:noProof/>
          </w:rPr>
          <w:t>Evaluation of submitted data</w:t>
        </w:r>
        <w:r w:rsidR="009934EA">
          <w:rPr>
            <w:noProof/>
            <w:webHidden/>
          </w:rPr>
          <w:tab/>
        </w:r>
        <w:r w:rsidR="009934EA">
          <w:rPr>
            <w:noProof/>
            <w:webHidden/>
          </w:rPr>
          <w:fldChar w:fldCharType="begin"/>
        </w:r>
        <w:r w:rsidR="009934EA">
          <w:rPr>
            <w:noProof/>
            <w:webHidden/>
          </w:rPr>
          <w:instrText xml:space="preserve"> PAGEREF _Toc427684467 \h </w:instrText>
        </w:r>
        <w:r w:rsidR="009934EA">
          <w:rPr>
            <w:noProof/>
            <w:webHidden/>
          </w:rPr>
        </w:r>
        <w:r w:rsidR="009934EA">
          <w:rPr>
            <w:noProof/>
            <w:webHidden/>
          </w:rPr>
          <w:fldChar w:fldCharType="separate"/>
        </w:r>
        <w:r w:rsidR="009934EA">
          <w:rPr>
            <w:noProof/>
            <w:webHidden/>
          </w:rPr>
          <w:t>5</w:t>
        </w:r>
        <w:r w:rsidR="009934EA">
          <w:rPr>
            <w:noProof/>
            <w:webHidden/>
          </w:rPr>
          <w:fldChar w:fldCharType="end"/>
        </w:r>
      </w:hyperlink>
    </w:p>
    <w:p w14:paraId="6E0D81A9"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8" w:history="1">
        <w:r w:rsidR="009934EA" w:rsidRPr="0041065F">
          <w:rPr>
            <w:rStyle w:val="Hyperlink"/>
            <w:noProof/>
          </w:rPr>
          <w:t>3.3</w:t>
        </w:r>
        <w:r w:rsidR="009934EA">
          <w:rPr>
            <w:rFonts w:eastAsiaTheme="minorEastAsia" w:cstheme="minorBidi"/>
            <w:smallCaps w:val="0"/>
            <w:noProof/>
            <w:sz w:val="22"/>
            <w:szCs w:val="22"/>
            <w:lang w:val="en-NZ" w:eastAsia="en-NZ" w:bidi="ar-SA"/>
          </w:rPr>
          <w:tab/>
        </w:r>
        <w:r w:rsidR="009934EA" w:rsidRPr="0041065F">
          <w:rPr>
            <w:rStyle w:val="Hyperlink"/>
            <w:noProof/>
          </w:rPr>
          <w:t>Additional published data</w:t>
        </w:r>
        <w:r w:rsidR="009934EA">
          <w:rPr>
            <w:noProof/>
            <w:webHidden/>
          </w:rPr>
          <w:tab/>
        </w:r>
        <w:r w:rsidR="009934EA">
          <w:rPr>
            <w:noProof/>
            <w:webHidden/>
          </w:rPr>
          <w:fldChar w:fldCharType="begin"/>
        </w:r>
        <w:r w:rsidR="009934EA">
          <w:rPr>
            <w:noProof/>
            <w:webHidden/>
          </w:rPr>
          <w:instrText xml:space="preserve"> PAGEREF _Toc427684468 \h </w:instrText>
        </w:r>
        <w:r w:rsidR="009934EA">
          <w:rPr>
            <w:noProof/>
            <w:webHidden/>
          </w:rPr>
        </w:r>
        <w:r w:rsidR="009934EA">
          <w:rPr>
            <w:noProof/>
            <w:webHidden/>
          </w:rPr>
          <w:fldChar w:fldCharType="separate"/>
        </w:r>
        <w:r w:rsidR="009934EA">
          <w:rPr>
            <w:noProof/>
            <w:webHidden/>
          </w:rPr>
          <w:t>6</w:t>
        </w:r>
        <w:r w:rsidR="009934EA">
          <w:rPr>
            <w:noProof/>
            <w:webHidden/>
          </w:rPr>
          <w:fldChar w:fldCharType="end"/>
        </w:r>
      </w:hyperlink>
    </w:p>
    <w:p w14:paraId="6E0D81AA"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9" w:history="1">
        <w:r w:rsidR="009934EA" w:rsidRPr="0041065F">
          <w:rPr>
            <w:rStyle w:val="Hyperlink"/>
            <w:noProof/>
          </w:rPr>
          <w:t>3.4</w:t>
        </w:r>
        <w:r w:rsidR="009934EA">
          <w:rPr>
            <w:rFonts w:eastAsiaTheme="minorEastAsia" w:cstheme="minorBidi"/>
            <w:smallCaps w:val="0"/>
            <w:noProof/>
            <w:sz w:val="22"/>
            <w:szCs w:val="22"/>
            <w:lang w:val="en-NZ" w:eastAsia="en-NZ" w:bidi="ar-SA"/>
          </w:rPr>
          <w:tab/>
        </w:r>
        <w:r w:rsidR="009934EA" w:rsidRPr="0041065F">
          <w:rPr>
            <w:rStyle w:val="Hyperlink"/>
            <w:noProof/>
          </w:rPr>
          <w:t>Hazard assessment conclusion</w:t>
        </w:r>
        <w:r w:rsidR="009934EA">
          <w:rPr>
            <w:noProof/>
            <w:webHidden/>
          </w:rPr>
          <w:tab/>
        </w:r>
        <w:r w:rsidR="009934EA">
          <w:rPr>
            <w:noProof/>
            <w:webHidden/>
          </w:rPr>
          <w:fldChar w:fldCharType="begin"/>
        </w:r>
        <w:r w:rsidR="009934EA">
          <w:rPr>
            <w:noProof/>
            <w:webHidden/>
          </w:rPr>
          <w:instrText xml:space="preserve"> PAGEREF _Toc427684469 \h </w:instrText>
        </w:r>
        <w:r w:rsidR="009934EA">
          <w:rPr>
            <w:noProof/>
            <w:webHidden/>
          </w:rPr>
        </w:r>
        <w:r w:rsidR="009934EA">
          <w:rPr>
            <w:noProof/>
            <w:webHidden/>
          </w:rPr>
          <w:fldChar w:fldCharType="separate"/>
        </w:r>
        <w:r w:rsidR="009934EA">
          <w:rPr>
            <w:noProof/>
            <w:webHidden/>
          </w:rPr>
          <w:t>6</w:t>
        </w:r>
        <w:r w:rsidR="009934EA">
          <w:rPr>
            <w:noProof/>
            <w:webHidden/>
          </w:rPr>
          <w:fldChar w:fldCharType="end"/>
        </w:r>
      </w:hyperlink>
    </w:p>
    <w:p w14:paraId="6E0D81AB" w14:textId="77777777" w:rsidR="009934EA" w:rsidRDefault="00FB77B3">
      <w:pPr>
        <w:pStyle w:val="TOC1"/>
        <w:rPr>
          <w:rFonts w:eastAsiaTheme="minorEastAsia" w:cstheme="minorBidi"/>
          <w:b w:val="0"/>
          <w:bCs w:val="0"/>
          <w:caps w:val="0"/>
          <w:noProof/>
          <w:sz w:val="22"/>
          <w:szCs w:val="22"/>
          <w:lang w:val="en-NZ" w:eastAsia="en-NZ" w:bidi="ar-SA"/>
        </w:rPr>
      </w:pPr>
      <w:hyperlink w:anchor="_Toc427684470" w:history="1">
        <w:r w:rsidR="009934EA" w:rsidRPr="0041065F">
          <w:rPr>
            <w:rStyle w:val="Hyperlink"/>
            <w:noProof/>
          </w:rPr>
          <w:t>4</w:t>
        </w:r>
        <w:r w:rsidR="009934EA">
          <w:rPr>
            <w:rFonts w:eastAsiaTheme="minorEastAsia" w:cstheme="minorBidi"/>
            <w:b w:val="0"/>
            <w:bCs w:val="0"/>
            <w:caps w:val="0"/>
            <w:noProof/>
            <w:sz w:val="22"/>
            <w:szCs w:val="22"/>
            <w:lang w:val="en-NZ" w:eastAsia="en-NZ" w:bidi="ar-SA"/>
          </w:rPr>
          <w:tab/>
        </w:r>
        <w:r w:rsidR="009934EA" w:rsidRPr="0041065F">
          <w:rPr>
            <w:rStyle w:val="Hyperlink"/>
            <w:noProof/>
          </w:rPr>
          <w:t>Dietary exposure assessment</w:t>
        </w:r>
        <w:r w:rsidR="009934EA">
          <w:rPr>
            <w:noProof/>
            <w:webHidden/>
          </w:rPr>
          <w:tab/>
        </w:r>
        <w:r w:rsidR="009934EA">
          <w:rPr>
            <w:noProof/>
            <w:webHidden/>
          </w:rPr>
          <w:fldChar w:fldCharType="begin"/>
        </w:r>
        <w:r w:rsidR="009934EA">
          <w:rPr>
            <w:noProof/>
            <w:webHidden/>
          </w:rPr>
          <w:instrText xml:space="preserve"> PAGEREF _Toc427684470 \h </w:instrText>
        </w:r>
        <w:r w:rsidR="009934EA">
          <w:rPr>
            <w:noProof/>
            <w:webHidden/>
          </w:rPr>
        </w:r>
        <w:r w:rsidR="009934EA">
          <w:rPr>
            <w:noProof/>
            <w:webHidden/>
          </w:rPr>
          <w:fldChar w:fldCharType="separate"/>
        </w:r>
        <w:r w:rsidR="009934EA">
          <w:rPr>
            <w:noProof/>
            <w:webHidden/>
          </w:rPr>
          <w:t>6</w:t>
        </w:r>
        <w:r w:rsidR="009934EA">
          <w:rPr>
            <w:noProof/>
            <w:webHidden/>
          </w:rPr>
          <w:fldChar w:fldCharType="end"/>
        </w:r>
      </w:hyperlink>
    </w:p>
    <w:p w14:paraId="6E0D81AC"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71" w:history="1">
        <w:r w:rsidR="009934EA" w:rsidRPr="0041065F">
          <w:rPr>
            <w:rStyle w:val="Hyperlink"/>
            <w:noProof/>
          </w:rPr>
          <w:t>4.1</w:t>
        </w:r>
        <w:r w:rsidR="009934EA">
          <w:rPr>
            <w:rFonts w:eastAsiaTheme="minorEastAsia" w:cstheme="minorBidi"/>
            <w:smallCaps w:val="0"/>
            <w:noProof/>
            <w:sz w:val="22"/>
            <w:szCs w:val="22"/>
            <w:lang w:val="en-NZ" w:eastAsia="en-NZ" w:bidi="ar-SA"/>
          </w:rPr>
          <w:tab/>
        </w:r>
        <w:r w:rsidR="009934EA" w:rsidRPr="0041065F">
          <w:rPr>
            <w:rStyle w:val="Hyperlink"/>
            <w:noProof/>
          </w:rPr>
          <w:t>Approach to estimating dietary exposure to Ace K</w:t>
        </w:r>
        <w:r w:rsidR="009934EA">
          <w:rPr>
            <w:noProof/>
            <w:webHidden/>
          </w:rPr>
          <w:tab/>
        </w:r>
        <w:r w:rsidR="009934EA">
          <w:rPr>
            <w:noProof/>
            <w:webHidden/>
          </w:rPr>
          <w:fldChar w:fldCharType="begin"/>
        </w:r>
        <w:r w:rsidR="009934EA">
          <w:rPr>
            <w:noProof/>
            <w:webHidden/>
          </w:rPr>
          <w:instrText xml:space="preserve"> PAGEREF _Toc427684471 \h </w:instrText>
        </w:r>
        <w:r w:rsidR="009934EA">
          <w:rPr>
            <w:noProof/>
            <w:webHidden/>
          </w:rPr>
        </w:r>
        <w:r w:rsidR="009934EA">
          <w:rPr>
            <w:noProof/>
            <w:webHidden/>
          </w:rPr>
          <w:fldChar w:fldCharType="separate"/>
        </w:r>
        <w:r w:rsidR="009934EA">
          <w:rPr>
            <w:noProof/>
            <w:webHidden/>
          </w:rPr>
          <w:t>6</w:t>
        </w:r>
        <w:r w:rsidR="009934EA">
          <w:rPr>
            <w:noProof/>
            <w:webHidden/>
          </w:rPr>
          <w:fldChar w:fldCharType="end"/>
        </w:r>
      </w:hyperlink>
    </w:p>
    <w:p w14:paraId="6E0D81AD"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2" w:history="1">
        <w:r w:rsidR="009934EA" w:rsidRPr="0041065F">
          <w:rPr>
            <w:rStyle w:val="Hyperlink"/>
            <w:noProof/>
          </w:rPr>
          <w:t>4.1.1</w:t>
        </w:r>
        <w:r w:rsidR="009934EA">
          <w:rPr>
            <w:rFonts w:eastAsiaTheme="minorEastAsia" w:cstheme="minorBidi"/>
            <w:i w:val="0"/>
            <w:iCs w:val="0"/>
            <w:noProof/>
            <w:sz w:val="22"/>
            <w:szCs w:val="22"/>
            <w:lang w:val="en-NZ" w:eastAsia="en-NZ" w:bidi="ar-SA"/>
          </w:rPr>
          <w:tab/>
        </w:r>
        <w:r w:rsidR="009934EA" w:rsidRPr="0041065F">
          <w:rPr>
            <w:rStyle w:val="Hyperlink"/>
            <w:noProof/>
          </w:rPr>
          <w:t>Previous estimates of dietary exposure to Ace K</w:t>
        </w:r>
        <w:r w:rsidR="009934EA">
          <w:rPr>
            <w:noProof/>
            <w:webHidden/>
          </w:rPr>
          <w:tab/>
        </w:r>
        <w:r w:rsidR="009934EA">
          <w:rPr>
            <w:noProof/>
            <w:webHidden/>
          </w:rPr>
          <w:fldChar w:fldCharType="begin"/>
        </w:r>
        <w:r w:rsidR="009934EA">
          <w:rPr>
            <w:noProof/>
            <w:webHidden/>
          </w:rPr>
          <w:instrText xml:space="preserve"> PAGEREF _Toc427684472 \h </w:instrText>
        </w:r>
        <w:r w:rsidR="009934EA">
          <w:rPr>
            <w:noProof/>
            <w:webHidden/>
          </w:rPr>
        </w:r>
        <w:r w:rsidR="009934EA">
          <w:rPr>
            <w:noProof/>
            <w:webHidden/>
          </w:rPr>
          <w:fldChar w:fldCharType="separate"/>
        </w:r>
        <w:r w:rsidR="009934EA">
          <w:rPr>
            <w:noProof/>
            <w:webHidden/>
          </w:rPr>
          <w:t>6</w:t>
        </w:r>
        <w:r w:rsidR="009934EA">
          <w:rPr>
            <w:noProof/>
            <w:webHidden/>
          </w:rPr>
          <w:fldChar w:fldCharType="end"/>
        </w:r>
      </w:hyperlink>
    </w:p>
    <w:p w14:paraId="6E0D81AE"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3" w:history="1">
        <w:r w:rsidR="009934EA" w:rsidRPr="0041065F">
          <w:rPr>
            <w:rStyle w:val="Hyperlink"/>
            <w:noProof/>
          </w:rPr>
          <w:t>4.1.2</w:t>
        </w:r>
        <w:r w:rsidR="009934EA">
          <w:rPr>
            <w:rFonts w:eastAsiaTheme="minorEastAsia" w:cstheme="minorBidi"/>
            <w:i w:val="0"/>
            <w:iCs w:val="0"/>
            <w:noProof/>
            <w:sz w:val="22"/>
            <w:szCs w:val="22"/>
            <w:lang w:val="en-NZ" w:eastAsia="en-NZ" w:bidi="ar-SA"/>
          </w:rPr>
          <w:tab/>
        </w:r>
        <w:r w:rsidR="009934EA" w:rsidRPr="0041065F">
          <w:rPr>
            <w:rStyle w:val="Hyperlink"/>
            <w:noProof/>
          </w:rPr>
          <w:t>Assessment of dietary exposure to Ace K in chewing gum</w:t>
        </w:r>
        <w:r w:rsidR="009934EA">
          <w:rPr>
            <w:noProof/>
            <w:webHidden/>
          </w:rPr>
          <w:tab/>
        </w:r>
        <w:r w:rsidR="009934EA">
          <w:rPr>
            <w:noProof/>
            <w:webHidden/>
          </w:rPr>
          <w:fldChar w:fldCharType="begin"/>
        </w:r>
        <w:r w:rsidR="009934EA">
          <w:rPr>
            <w:noProof/>
            <w:webHidden/>
          </w:rPr>
          <w:instrText xml:space="preserve"> PAGEREF _Toc427684473 \h </w:instrText>
        </w:r>
        <w:r w:rsidR="009934EA">
          <w:rPr>
            <w:noProof/>
            <w:webHidden/>
          </w:rPr>
        </w:r>
        <w:r w:rsidR="009934EA">
          <w:rPr>
            <w:noProof/>
            <w:webHidden/>
          </w:rPr>
          <w:fldChar w:fldCharType="separate"/>
        </w:r>
        <w:r w:rsidR="009934EA">
          <w:rPr>
            <w:noProof/>
            <w:webHidden/>
          </w:rPr>
          <w:t>7</w:t>
        </w:r>
        <w:r w:rsidR="009934EA">
          <w:rPr>
            <w:noProof/>
            <w:webHidden/>
          </w:rPr>
          <w:fldChar w:fldCharType="end"/>
        </w:r>
      </w:hyperlink>
    </w:p>
    <w:p w14:paraId="6E0D81AF"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4" w:history="1">
        <w:r w:rsidR="009934EA" w:rsidRPr="0041065F">
          <w:rPr>
            <w:rStyle w:val="Hyperlink"/>
            <w:noProof/>
          </w:rPr>
          <w:t>4.1.3</w:t>
        </w:r>
        <w:r w:rsidR="009934EA">
          <w:rPr>
            <w:rFonts w:eastAsiaTheme="minorEastAsia" w:cstheme="minorBidi"/>
            <w:i w:val="0"/>
            <w:iCs w:val="0"/>
            <w:noProof/>
            <w:sz w:val="22"/>
            <w:szCs w:val="22"/>
            <w:lang w:val="en-NZ" w:eastAsia="en-NZ" w:bidi="ar-SA"/>
          </w:rPr>
          <w:tab/>
        </w:r>
        <w:r w:rsidR="009934EA" w:rsidRPr="0041065F">
          <w:rPr>
            <w:rStyle w:val="Hyperlink"/>
            <w:noProof/>
          </w:rPr>
          <w:t>Consumption data used</w:t>
        </w:r>
        <w:r w:rsidR="009934EA">
          <w:rPr>
            <w:noProof/>
            <w:webHidden/>
          </w:rPr>
          <w:tab/>
        </w:r>
        <w:r w:rsidR="009934EA">
          <w:rPr>
            <w:noProof/>
            <w:webHidden/>
          </w:rPr>
          <w:fldChar w:fldCharType="begin"/>
        </w:r>
        <w:r w:rsidR="009934EA">
          <w:rPr>
            <w:noProof/>
            <w:webHidden/>
          </w:rPr>
          <w:instrText xml:space="preserve"> PAGEREF _Toc427684474 \h </w:instrText>
        </w:r>
        <w:r w:rsidR="009934EA">
          <w:rPr>
            <w:noProof/>
            <w:webHidden/>
          </w:rPr>
        </w:r>
        <w:r w:rsidR="009934EA">
          <w:rPr>
            <w:noProof/>
            <w:webHidden/>
          </w:rPr>
          <w:fldChar w:fldCharType="separate"/>
        </w:r>
        <w:r w:rsidR="009934EA">
          <w:rPr>
            <w:noProof/>
            <w:webHidden/>
          </w:rPr>
          <w:t>7</w:t>
        </w:r>
        <w:r w:rsidR="009934EA">
          <w:rPr>
            <w:noProof/>
            <w:webHidden/>
          </w:rPr>
          <w:fldChar w:fldCharType="end"/>
        </w:r>
      </w:hyperlink>
    </w:p>
    <w:p w14:paraId="6E0D81B0"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5" w:history="1">
        <w:r w:rsidR="009934EA" w:rsidRPr="0041065F">
          <w:rPr>
            <w:rStyle w:val="Hyperlink"/>
            <w:noProof/>
          </w:rPr>
          <w:t>4.1.4</w:t>
        </w:r>
        <w:r w:rsidR="009934EA">
          <w:rPr>
            <w:rFonts w:eastAsiaTheme="minorEastAsia" w:cstheme="minorBidi"/>
            <w:i w:val="0"/>
            <w:iCs w:val="0"/>
            <w:noProof/>
            <w:sz w:val="22"/>
            <w:szCs w:val="22"/>
            <w:lang w:val="en-NZ" w:eastAsia="en-NZ" w:bidi="ar-SA"/>
          </w:rPr>
          <w:tab/>
        </w:r>
        <w:r w:rsidR="009934EA" w:rsidRPr="0041065F">
          <w:rPr>
            <w:rStyle w:val="Hyperlink"/>
            <w:noProof/>
          </w:rPr>
          <w:t>Concentration data for Ace K</w:t>
        </w:r>
        <w:r w:rsidR="009934EA">
          <w:rPr>
            <w:noProof/>
            <w:webHidden/>
          </w:rPr>
          <w:tab/>
        </w:r>
        <w:r w:rsidR="009934EA">
          <w:rPr>
            <w:noProof/>
            <w:webHidden/>
          </w:rPr>
          <w:fldChar w:fldCharType="begin"/>
        </w:r>
        <w:r w:rsidR="009934EA">
          <w:rPr>
            <w:noProof/>
            <w:webHidden/>
          </w:rPr>
          <w:instrText xml:space="preserve"> PAGEREF _Toc427684475 \h </w:instrText>
        </w:r>
        <w:r w:rsidR="009934EA">
          <w:rPr>
            <w:noProof/>
            <w:webHidden/>
          </w:rPr>
        </w:r>
        <w:r w:rsidR="009934EA">
          <w:rPr>
            <w:noProof/>
            <w:webHidden/>
          </w:rPr>
          <w:fldChar w:fldCharType="separate"/>
        </w:r>
        <w:r w:rsidR="009934EA">
          <w:rPr>
            <w:noProof/>
            <w:webHidden/>
          </w:rPr>
          <w:t>8</w:t>
        </w:r>
        <w:r w:rsidR="009934EA">
          <w:rPr>
            <w:noProof/>
            <w:webHidden/>
          </w:rPr>
          <w:fldChar w:fldCharType="end"/>
        </w:r>
      </w:hyperlink>
    </w:p>
    <w:p w14:paraId="6E0D81B1"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6" w:history="1">
        <w:r w:rsidR="009934EA" w:rsidRPr="0041065F">
          <w:rPr>
            <w:rStyle w:val="Hyperlink"/>
            <w:noProof/>
          </w:rPr>
          <w:t>4.1.5</w:t>
        </w:r>
        <w:r w:rsidR="009934EA">
          <w:rPr>
            <w:rFonts w:eastAsiaTheme="minorEastAsia" w:cstheme="minorBidi"/>
            <w:i w:val="0"/>
            <w:iCs w:val="0"/>
            <w:noProof/>
            <w:sz w:val="22"/>
            <w:szCs w:val="22"/>
            <w:lang w:val="en-NZ" w:eastAsia="en-NZ" w:bidi="ar-SA"/>
          </w:rPr>
          <w:tab/>
        </w:r>
        <w:r w:rsidR="009934EA" w:rsidRPr="0041065F">
          <w:rPr>
            <w:rStyle w:val="Hyperlink"/>
            <w:noProof/>
          </w:rPr>
          <w:t>Assumptions and limitations of the dietary exposure assessment</w:t>
        </w:r>
        <w:r w:rsidR="009934EA">
          <w:rPr>
            <w:noProof/>
            <w:webHidden/>
          </w:rPr>
          <w:tab/>
        </w:r>
        <w:r w:rsidR="009934EA">
          <w:rPr>
            <w:noProof/>
            <w:webHidden/>
          </w:rPr>
          <w:fldChar w:fldCharType="begin"/>
        </w:r>
        <w:r w:rsidR="009934EA">
          <w:rPr>
            <w:noProof/>
            <w:webHidden/>
          </w:rPr>
          <w:instrText xml:space="preserve"> PAGEREF _Toc427684476 \h </w:instrText>
        </w:r>
        <w:r w:rsidR="009934EA">
          <w:rPr>
            <w:noProof/>
            <w:webHidden/>
          </w:rPr>
        </w:r>
        <w:r w:rsidR="009934EA">
          <w:rPr>
            <w:noProof/>
            <w:webHidden/>
          </w:rPr>
          <w:fldChar w:fldCharType="separate"/>
        </w:r>
        <w:r w:rsidR="009934EA">
          <w:rPr>
            <w:noProof/>
            <w:webHidden/>
          </w:rPr>
          <w:t>8</w:t>
        </w:r>
        <w:r w:rsidR="009934EA">
          <w:rPr>
            <w:noProof/>
            <w:webHidden/>
          </w:rPr>
          <w:fldChar w:fldCharType="end"/>
        </w:r>
      </w:hyperlink>
    </w:p>
    <w:p w14:paraId="6E0D81B2"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77" w:history="1">
        <w:r w:rsidR="009934EA" w:rsidRPr="0041065F">
          <w:rPr>
            <w:rStyle w:val="Hyperlink"/>
            <w:noProof/>
          </w:rPr>
          <w:t>4.2</w:t>
        </w:r>
        <w:r w:rsidR="009934EA">
          <w:rPr>
            <w:rFonts w:eastAsiaTheme="minorEastAsia" w:cstheme="minorBidi"/>
            <w:smallCaps w:val="0"/>
            <w:noProof/>
            <w:sz w:val="22"/>
            <w:szCs w:val="22"/>
            <w:lang w:val="en-NZ" w:eastAsia="en-NZ" w:bidi="ar-SA"/>
          </w:rPr>
          <w:tab/>
        </w:r>
        <w:r w:rsidR="009934EA" w:rsidRPr="0041065F">
          <w:rPr>
            <w:rStyle w:val="Hyperlink"/>
            <w:noProof/>
          </w:rPr>
          <w:t>Estimated population dietary exposures to Ace K</w:t>
        </w:r>
        <w:r w:rsidR="009934EA">
          <w:rPr>
            <w:noProof/>
            <w:webHidden/>
          </w:rPr>
          <w:tab/>
        </w:r>
        <w:r w:rsidR="009934EA">
          <w:rPr>
            <w:noProof/>
            <w:webHidden/>
          </w:rPr>
          <w:fldChar w:fldCharType="begin"/>
        </w:r>
        <w:r w:rsidR="009934EA">
          <w:rPr>
            <w:noProof/>
            <w:webHidden/>
          </w:rPr>
          <w:instrText xml:space="preserve"> PAGEREF _Toc427684477 \h </w:instrText>
        </w:r>
        <w:r w:rsidR="009934EA">
          <w:rPr>
            <w:noProof/>
            <w:webHidden/>
          </w:rPr>
        </w:r>
        <w:r w:rsidR="009934EA">
          <w:rPr>
            <w:noProof/>
            <w:webHidden/>
          </w:rPr>
          <w:fldChar w:fldCharType="separate"/>
        </w:r>
        <w:r w:rsidR="009934EA">
          <w:rPr>
            <w:noProof/>
            <w:webHidden/>
          </w:rPr>
          <w:t>8</w:t>
        </w:r>
        <w:r w:rsidR="009934EA">
          <w:rPr>
            <w:noProof/>
            <w:webHidden/>
          </w:rPr>
          <w:fldChar w:fldCharType="end"/>
        </w:r>
      </w:hyperlink>
    </w:p>
    <w:p w14:paraId="6E0D81B3"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8" w:history="1">
        <w:r w:rsidR="009934EA" w:rsidRPr="0041065F">
          <w:rPr>
            <w:rStyle w:val="Hyperlink"/>
            <w:noProof/>
          </w:rPr>
          <w:t>4.2.1</w:t>
        </w:r>
        <w:r w:rsidR="009934EA">
          <w:rPr>
            <w:rFonts w:eastAsiaTheme="minorEastAsia" w:cstheme="minorBidi"/>
            <w:i w:val="0"/>
            <w:iCs w:val="0"/>
            <w:noProof/>
            <w:sz w:val="22"/>
            <w:szCs w:val="22"/>
            <w:lang w:val="en-NZ" w:eastAsia="en-NZ" w:bidi="ar-SA"/>
          </w:rPr>
          <w:tab/>
        </w:r>
        <w:r w:rsidR="009934EA" w:rsidRPr="0041065F">
          <w:rPr>
            <w:rStyle w:val="Hyperlink"/>
            <w:noProof/>
          </w:rPr>
          <w:t>Estimated dietary exposures for consumers of intensely sweetened chewing gum</w:t>
        </w:r>
        <w:r w:rsidR="009934EA">
          <w:rPr>
            <w:noProof/>
            <w:webHidden/>
          </w:rPr>
          <w:tab/>
        </w:r>
        <w:r w:rsidR="009934EA">
          <w:rPr>
            <w:noProof/>
            <w:webHidden/>
          </w:rPr>
          <w:fldChar w:fldCharType="begin"/>
        </w:r>
        <w:r w:rsidR="009934EA">
          <w:rPr>
            <w:noProof/>
            <w:webHidden/>
          </w:rPr>
          <w:instrText xml:space="preserve"> PAGEREF _Toc427684478 \h </w:instrText>
        </w:r>
        <w:r w:rsidR="009934EA">
          <w:rPr>
            <w:noProof/>
            <w:webHidden/>
          </w:rPr>
        </w:r>
        <w:r w:rsidR="009934EA">
          <w:rPr>
            <w:noProof/>
            <w:webHidden/>
          </w:rPr>
          <w:fldChar w:fldCharType="separate"/>
        </w:r>
        <w:r w:rsidR="009934EA">
          <w:rPr>
            <w:noProof/>
            <w:webHidden/>
          </w:rPr>
          <w:t>9</w:t>
        </w:r>
        <w:r w:rsidR="009934EA">
          <w:rPr>
            <w:noProof/>
            <w:webHidden/>
          </w:rPr>
          <w:fldChar w:fldCharType="end"/>
        </w:r>
      </w:hyperlink>
    </w:p>
    <w:p w14:paraId="6E0D81B4"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9" w:history="1">
        <w:r w:rsidR="009934EA" w:rsidRPr="0041065F">
          <w:rPr>
            <w:rStyle w:val="Hyperlink"/>
            <w:noProof/>
          </w:rPr>
          <w:t>4.2.2</w:t>
        </w:r>
        <w:r w:rsidR="009934EA">
          <w:rPr>
            <w:rFonts w:eastAsiaTheme="minorEastAsia" w:cstheme="minorBidi"/>
            <w:i w:val="0"/>
            <w:iCs w:val="0"/>
            <w:noProof/>
            <w:sz w:val="22"/>
            <w:szCs w:val="22"/>
            <w:lang w:val="en-NZ" w:eastAsia="en-NZ" w:bidi="ar-SA"/>
          </w:rPr>
          <w:tab/>
        </w:r>
        <w:r w:rsidR="009934EA" w:rsidRPr="0041065F">
          <w:rPr>
            <w:rStyle w:val="Hyperlink"/>
            <w:noProof/>
          </w:rPr>
          <w:t xml:space="preserve">Estimated population dietary exposures from </w:t>
        </w:r>
        <w:r w:rsidR="009934EA" w:rsidRPr="0041065F">
          <w:rPr>
            <w:rStyle w:val="Hyperlink"/>
            <w:rFonts w:cs="Arial"/>
            <w:noProof/>
          </w:rPr>
          <w:t>intensely sweetened chewing gum</w:t>
        </w:r>
        <w:r w:rsidR="009934EA" w:rsidRPr="0041065F">
          <w:rPr>
            <w:rStyle w:val="Hyperlink"/>
            <w:noProof/>
          </w:rPr>
          <w:t xml:space="preserve"> combined with the 2004 sweetener survey results</w:t>
        </w:r>
        <w:r w:rsidR="009934EA">
          <w:rPr>
            <w:noProof/>
            <w:webHidden/>
          </w:rPr>
          <w:tab/>
        </w:r>
        <w:r w:rsidR="009934EA">
          <w:rPr>
            <w:noProof/>
            <w:webHidden/>
          </w:rPr>
          <w:fldChar w:fldCharType="begin"/>
        </w:r>
        <w:r w:rsidR="009934EA">
          <w:rPr>
            <w:noProof/>
            <w:webHidden/>
          </w:rPr>
          <w:instrText xml:space="preserve"> PAGEREF _Toc427684479 \h </w:instrText>
        </w:r>
        <w:r w:rsidR="009934EA">
          <w:rPr>
            <w:noProof/>
            <w:webHidden/>
          </w:rPr>
        </w:r>
        <w:r w:rsidR="009934EA">
          <w:rPr>
            <w:noProof/>
            <w:webHidden/>
          </w:rPr>
          <w:fldChar w:fldCharType="separate"/>
        </w:r>
        <w:r w:rsidR="009934EA">
          <w:rPr>
            <w:noProof/>
            <w:webHidden/>
          </w:rPr>
          <w:t>10</w:t>
        </w:r>
        <w:r w:rsidR="009934EA">
          <w:rPr>
            <w:noProof/>
            <w:webHidden/>
          </w:rPr>
          <w:fldChar w:fldCharType="end"/>
        </w:r>
      </w:hyperlink>
    </w:p>
    <w:p w14:paraId="6E0D81B5"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80" w:history="1">
        <w:r w:rsidR="009934EA" w:rsidRPr="0041065F">
          <w:rPr>
            <w:rStyle w:val="Hyperlink"/>
            <w:noProof/>
          </w:rPr>
          <w:t>4.2.3</w:t>
        </w:r>
        <w:r w:rsidR="009934EA">
          <w:rPr>
            <w:rFonts w:eastAsiaTheme="minorEastAsia" w:cstheme="minorBidi"/>
            <w:i w:val="0"/>
            <w:iCs w:val="0"/>
            <w:noProof/>
            <w:sz w:val="22"/>
            <w:szCs w:val="22"/>
            <w:lang w:val="en-NZ" w:eastAsia="en-NZ" w:bidi="ar-SA"/>
          </w:rPr>
          <w:tab/>
        </w:r>
        <w:r w:rsidR="009934EA" w:rsidRPr="0041065F">
          <w:rPr>
            <w:rStyle w:val="Hyperlink"/>
            <w:noProof/>
          </w:rPr>
          <w:t>Estimated total dietary exposures to Ace K for young children</w:t>
        </w:r>
        <w:r w:rsidR="009934EA">
          <w:rPr>
            <w:noProof/>
            <w:webHidden/>
          </w:rPr>
          <w:tab/>
        </w:r>
        <w:r w:rsidR="009934EA">
          <w:rPr>
            <w:noProof/>
            <w:webHidden/>
          </w:rPr>
          <w:fldChar w:fldCharType="begin"/>
        </w:r>
        <w:r w:rsidR="009934EA">
          <w:rPr>
            <w:noProof/>
            <w:webHidden/>
          </w:rPr>
          <w:instrText xml:space="preserve"> PAGEREF _Toc427684480 \h </w:instrText>
        </w:r>
        <w:r w:rsidR="009934EA">
          <w:rPr>
            <w:noProof/>
            <w:webHidden/>
          </w:rPr>
        </w:r>
        <w:r w:rsidR="009934EA">
          <w:rPr>
            <w:noProof/>
            <w:webHidden/>
          </w:rPr>
          <w:fldChar w:fldCharType="separate"/>
        </w:r>
        <w:r w:rsidR="009934EA">
          <w:rPr>
            <w:noProof/>
            <w:webHidden/>
          </w:rPr>
          <w:t>11</w:t>
        </w:r>
        <w:r w:rsidR="009934EA">
          <w:rPr>
            <w:noProof/>
            <w:webHidden/>
          </w:rPr>
          <w:fldChar w:fldCharType="end"/>
        </w:r>
      </w:hyperlink>
    </w:p>
    <w:p w14:paraId="6E0D81B6"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81" w:history="1">
        <w:r w:rsidR="009934EA" w:rsidRPr="0041065F">
          <w:rPr>
            <w:rStyle w:val="Hyperlink"/>
            <w:noProof/>
          </w:rPr>
          <w:t>4.2.4</w:t>
        </w:r>
        <w:r w:rsidR="009934EA">
          <w:rPr>
            <w:rFonts w:eastAsiaTheme="minorEastAsia" w:cstheme="minorBidi"/>
            <w:i w:val="0"/>
            <w:iCs w:val="0"/>
            <w:noProof/>
            <w:sz w:val="22"/>
            <w:szCs w:val="22"/>
            <w:lang w:val="en-NZ" w:eastAsia="en-NZ" w:bidi="ar-SA"/>
          </w:rPr>
          <w:tab/>
        </w:r>
        <w:r w:rsidR="009934EA" w:rsidRPr="0041065F">
          <w:rPr>
            <w:rStyle w:val="Hyperlink"/>
            <w:noProof/>
          </w:rPr>
          <w:t>Major foods contributing to Ace K dietary exposure</w:t>
        </w:r>
        <w:r w:rsidR="009934EA">
          <w:rPr>
            <w:noProof/>
            <w:webHidden/>
          </w:rPr>
          <w:tab/>
        </w:r>
        <w:r w:rsidR="009934EA">
          <w:rPr>
            <w:noProof/>
            <w:webHidden/>
          </w:rPr>
          <w:fldChar w:fldCharType="begin"/>
        </w:r>
        <w:r w:rsidR="009934EA">
          <w:rPr>
            <w:noProof/>
            <w:webHidden/>
          </w:rPr>
          <w:instrText xml:space="preserve"> PAGEREF _Toc427684481 \h </w:instrText>
        </w:r>
        <w:r w:rsidR="009934EA">
          <w:rPr>
            <w:noProof/>
            <w:webHidden/>
          </w:rPr>
        </w:r>
        <w:r w:rsidR="009934EA">
          <w:rPr>
            <w:noProof/>
            <w:webHidden/>
          </w:rPr>
          <w:fldChar w:fldCharType="separate"/>
        </w:r>
        <w:r w:rsidR="009934EA">
          <w:rPr>
            <w:noProof/>
            <w:webHidden/>
          </w:rPr>
          <w:t>11</w:t>
        </w:r>
        <w:r w:rsidR="009934EA">
          <w:rPr>
            <w:noProof/>
            <w:webHidden/>
          </w:rPr>
          <w:fldChar w:fldCharType="end"/>
        </w:r>
      </w:hyperlink>
    </w:p>
    <w:p w14:paraId="6E0D81B7" w14:textId="77777777" w:rsidR="009934EA" w:rsidRDefault="00FB77B3">
      <w:pPr>
        <w:pStyle w:val="TOC2"/>
        <w:tabs>
          <w:tab w:val="left" w:pos="880"/>
          <w:tab w:val="right" w:leader="dot" w:pos="9060"/>
        </w:tabs>
        <w:rPr>
          <w:rFonts w:eastAsiaTheme="minorEastAsia" w:cstheme="minorBidi"/>
          <w:smallCaps w:val="0"/>
          <w:noProof/>
          <w:sz w:val="22"/>
          <w:szCs w:val="22"/>
          <w:lang w:val="en-NZ" w:eastAsia="en-NZ" w:bidi="ar-SA"/>
        </w:rPr>
      </w:pPr>
      <w:hyperlink w:anchor="_Toc427684482" w:history="1">
        <w:r w:rsidR="009934EA" w:rsidRPr="0041065F">
          <w:rPr>
            <w:rStyle w:val="Hyperlink"/>
            <w:noProof/>
          </w:rPr>
          <w:t>4.3</w:t>
        </w:r>
        <w:r w:rsidR="009934EA">
          <w:rPr>
            <w:rFonts w:eastAsiaTheme="minorEastAsia" w:cstheme="minorBidi"/>
            <w:smallCaps w:val="0"/>
            <w:noProof/>
            <w:sz w:val="22"/>
            <w:szCs w:val="22"/>
            <w:lang w:val="en-NZ" w:eastAsia="en-NZ" w:bidi="ar-SA"/>
          </w:rPr>
          <w:tab/>
        </w:r>
        <w:r w:rsidR="009934EA" w:rsidRPr="0041065F">
          <w:rPr>
            <w:rStyle w:val="Hyperlink"/>
            <w:noProof/>
          </w:rPr>
          <w:t>Dietary exposure assessment conclusion</w:t>
        </w:r>
        <w:r w:rsidR="009934EA">
          <w:rPr>
            <w:noProof/>
            <w:webHidden/>
          </w:rPr>
          <w:tab/>
        </w:r>
        <w:r w:rsidR="009934EA">
          <w:rPr>
            <w:noProof/>
            <w:webHidden/>
          </w:rPr>
          <w:fldChar w:fldCharType="begin"/>
        </w:r>
        <w:r w:rsidR="009934EA">
          <w:rPr>
            <w:noProof/>
            <w:webHidden/>
          </w:rPr>
          <w:instrText xml:space="preserve"> PAGEREF _Toc427684482 \h </w:instrText>
        </w:r>
        <w:r w:rsidR="009934EA">
          <w:rPr>
            <w:noProof/>
            <w:webHidden/>
          </w:rPr>
        </w:r>
        <w:r w:rsidR="009934EA">
          <w:rPr>
            <w:noProof/>
            <w:webHidden/>
          </w:rPr>
          <w:fldChar w:fldCharType="separate"/>
        </w:r>
        <w:r w:rsidR="009934EA">
          <w:rPr>
            <w:noProof/>
            <w:webHidden/>
          </w:rPr>
          <w:t>11</w:t>
        </w:r>
        <w:r w:rsidR="009934EA">
          <w:rPr>
            <w:noProof/>
            <w:webHidden/>
          </w:rPr>
          <w:fldChar w:fldCharType="end"/>
        </w:r>
      </w:hyperlink>
    </w:p>
    <w:p w14:paraId="6E0D81B8" w14:textId="77777777" w:rsidR="009934EA" w:rsidRDefault="00FB77B3">
      <w:pPr>
        <w:pStyle w:val="TOC1"/>
        <w:rPr>
          <w:rFonts w:eastAsiaTheme="minorEastAsia" w:cstheme="minorBidi"/>
          <w:b w:val="0"/>
          <w:bCs w:val="0"/>
          <w:caps w:val="0"/>
          <w:noProof/>
          <w:sz w:val="22"/>
          <w:szCs w:val="22"/>
          <w:lang w:val="en-NZ" w:eastAsia="en-NZ" w:bidi="ar-SA"/>
        </w:rPr>
      </w:pPr>
      <w:hyperlink w:anchor="_Toc427684483" w:history="1">
        <w:r w:rsidR="009934EA" w:rsidRPr="0041065F">
          <w:rPr>
            <w:rStyle w:val="Hyperlink"/>
            <w:noProof/>
          </w:rPr>
          <w:t>5</w:t>
        </w:r>
        <w:r w:rsidR="009934EA">
          <w:rPr>
            <w:rFonts w:eastAsiaTheme="minorEastAsia" w:cstheme="minorBidi"/>
            <w:b w:val="0"/>
            <w:bCs w:val="0"/>
            <w:caps w:val="0"/>
            <w:noProof/>
            <w:sz w:val="22"/>
            <w:szCs w:val="22"/>
            <w:lang w:val="en-NZ" w:eastAsia="en-NZ" w:bidi="ar-SA"/>
          </w:rPr>
          <w:tab/>
        </w:r>
        <w:r w:rsidR="009934EA" w:rsidRPr="0041065F">
          <w:rPr>
            <w:rStyle w:val="Hyperlink"/>
            <w:noProof/>
          </w:rPr>
          <w:t>Risk characterisation</w:t>
        </w:r>
        <w:r w:rsidR="009934EA">
          <w:rPr>
            <w:noProof/>
            <w:webHidden/>
          </w:rPr>
          <w:tab/>
        </w:r>
        <w:r w:rsidR="009934EA">
          <w:rPr>
            <w:noProof/>
            <w:webHidden/>
          </w:rPr>
          <w:fldChar w:fldCharType="begin"/>
        </w:r>
        <w:r w:rsidR="009934EA">
          <w:rPr>
            <w:noProof/>
            <w:webHidden/>
          </w:rPr>
          <w:instrText xml:space="preserve"> PAGEREF _Toc427684483 \h </w:instrText>
        </w:r>
        <w:r w:rsidR="009934EA">
          <w:rPr>
            <w:noProof/>
            <w:webHidden/>
          </w:rPr>
        </w:r>
        <w:r w:rsidR="009934EA">
          <w:rPr>
            <w:noProof/>
            <w:webHidden/>
          </w:rPr>
          <w:fldChar w:fldCharType="separate"/>
        </w:r>
        <w:r w:rsidR="009934EA">
          <w:rPr>
            <w:noProof/>
            <w:webHidden/>
          </w:rPr>
          <w:t>12</w:t>
        </w:r>
        <w:r w:rsidR="009934EA">
          <w:rPr>
            <w:noProof/>
            <w:webHidden/>
          </w:rPr>
          <w:fldChar w:fldCharType="end"/>
        </w:r>
      </w:hyperlink>
    </w:p>
    <w:p w14:paraId="6E0D81B9" w14:textId="77777777" w:rsidR="009934EA" w:rsidRDefault="00FB77B3">
      <w:pPr>
        <w:pStyle w:val="TOC1"/>
        <w:rPr>
          <w:rFonts w:eastAsiaTheme="minorEastAsia" w:cstheme="minorBidi"/>
          <w:b w:val="0"/>
          <w:bCs w:val="0"/>
          <w:caps w:val="0"/>
          <w:noProof/>
          <w:sz w:val="22"/>
          <w:szCs w:val="22"/>
          <w:lang w:val="en-NZ" w:eastAsia="en-NZ" w:bidi="ar-SA"/>
        </w:rPr>
      </w:pPr>
      <w:hyperlink w:anchor="_Toc427684484" w:history="1">
        <w:r w:rsidR="009934EA" w:rsidRPr="0041065F">
          <w:rPr>
            <w:rStyle w:val="Hyperlink"/>
            <w:noProof/>
          </w:rPr>
          <w:t>6</w:t>
        </w:r>
        <w:r w:rsidR="009934EA">
          <w:rPr>
            <w:rFonts w:eastAsiaTheme="minorEastAsia" w:cstheme="minorBidi"/>
            <w:b w:val="0"/>
            <w:bCs w:val="0"/>
            <w:caps w:val="0"/>
            <w:noProof/>
            <w:sz w:val="22"/>
            <w:szCs w:val="22"/>
            <w:lang w:val="en-NZ" w:eastAsia="en-NZ" w:bidi="ar-SA"/>
          </w:rPr>
          <w:tab/>
        </w:r>
        <w:r w:rsidR="009934EA" w:rsidRPr="0041065F">
          <w:rPr>
            <w:rStyle w:val="Hyperlink"/>
            <w:noProof/>
          </w:rPr>
          <w:t>References</w:t>
        </w:r>
        <w:r w:rsidR="009934EA">
          <w:rPr>
            <w:noProof/>
            <w:webHidden/>
          </w:rPr>
          <w:tab/>
        </w:r>
        <w:r w:rsidR="009934EA">
          <w:rPr>
            <w:noProof/>
            <w:webHidden/>
          </w:rPr>
          <w:fldChar w:fldCharType="begin"/>
        </w:r>
        <w:r w:rsidR="009934EA">
          <w:rPr>
            <w:noProof/>
            <w:webHidden/>
          </w:rPr>
          <w:instrText xml:space="preserve"> PAGEREF _Toc427684484 \h </w:instrText>
        </w:r>
        <w:r w:rsidR="009934EA">
          <w:rPr>
            <w:noProof/>
            <w:webHidden/>
          </w:rPr>
        </w:r>
        <w:r w:rsidR="009934EA">
          <w:rPr>
            <w:noProof/>
            <w:webHidden/>
          </w:rPr>
          <w:fldChar w:fldCharType="separate"/>
        </w:r>
        <w:r w:rsidR="009934EA">
          <w:rPr>
            <w:noProof/>
            <w:webHidden/>
          </w:rPr>
          <w:t>12</w:t>
        </w:r>
        <w:r w:rsidR="009934EA">
          <w:rPr>
            <w:noProof/>
            <w:webHidden/>
          </w:rPr>
          <w:fldChar w:fldCharType="end"/>
        </w:r>
      </w:hyperlink>
    </w:p>
    <w:p w14:paraId="6E0D81BA" w14:textId="77777777" w:rsidR="009934EA" w:rsidRDefault="00FB77B3">
      <w:pPr>
        <w:pStyle w:val="TOC2"/>
        <w:tabs>
          <w:tab w:val="right" w:leader="dot" w:pos="9060"/>
        </w:tabs>
        <w:rPr>
          <w:rFonts w:eastAsiaTheme="minorEastAsia" w:cstheme="minorBidi"/>
          <w:smallCaps w:val="0"/>
          <w:noProof/>
          <w:sz w:val="22"/>
          <w:szCs w:val="22"/>
          <w:lang w:val="en-NZ" w:eastAsia="en-NZ" w:bidi="ar-SA"/>
        </w:rPr>
      </w:pPr>
      <w:hyperlink w:anchor="_Toc427684485" w:history="1">
        <w:r w:rsidR="009934EA" w:rsidRPr="0041065F">
          <w:rPr>
            <w:rStyle w:val="Hyperlink"/>
            <w:noProof/>
          </w:rPr>
          <w:t>Appendix 1 – Dietary Exposure Assessments at FSANZ</w:t>
        </w:r>
        <w:r w:rsidR="009934EA">
          <w:rPr>
            <w:noProof/>
            <w:webHidden/>
          </w:rPr>
          <w:tab/>
        </w:r>
        <w:r w:rsidR="009934EA">
          <w:rPr>
            <w:noProof/>
            <w:webHidden/>
          </w:rPr>
          <w:fldChar w:fldCharType="begin"/>
        </w:r>
        <w:r w:rsidR="009934EA">
          <w:rPr>
            <w:noProof/>
            <w:webHidden/>
          </w:rPr>
          <w:instrText xml:space="preserve"> PAGEREF _Toc427684485 \h </w:instrText>
        </w:r>
        <w:r w:rsidR="009934EA">
          <w:rPr>
            <w:noProof/>
            <w:webHidden/>
          </w:rPr>
        </w:r>
        <w:r w:rsidR="009934EA">
          <w:rPr>
            <w:noProof/>
            <w:webHidden/>
          </w:rPr>
          <w:fldChar w:fldCharType="separate"/>
        </w:r>
        <w:r w:rsidR="009934EA">
          <w:rPr>
            <w:noProof/>
            <w:webHidden/>
          </w:rPr>
          <w:t>14</w:t>
        </w:r>
        <w:r w:rsidR="009934EA">
          <w:rPr>
            <w:noProof/>
            <w:webHidden/>
          </w:rPr>
          <w:fldChar w:fldCharType="end"/>
        </w:r>
      </w:hyperlink>
    </w:p>
    <w:p w14:paraId="6E0D81BB" w14:textId="77777777" w:rsidR="009934EA" w:rsidRDefault="00FB77B3">
      <w:pPr>
        <w:pStyle w:val="TOC3"/>
        <w:tabs>
          <w:tab w:val="right" w:leader="dot" w:pos="9060"/>
        </w:tabs>
        <w:rPr>
          <w:rFonts w:eastAsiaTheme="minorEastAsia" w:cstheme="minorBidi"/>
          <w:i w:val="0"/>
          <w:iCs w:val="0"/>
          <w:noProof/>
          <w:sz w:val="22"/>
          <w:szCs w:val="22"/>
          <w:lang w:val="en-NZ" w:eastAsia="en-NZ" w:bidi="ar-SA"/>
        </w:rPr>
      </w:pPr>
      <w:hyperlink w:anchor="_Toc427684486" w:history="1">
        <w:r w:rsidR="009934EA" w:rsidRPr="0041065F">
          <w:rPr>
            <w:rStyle w:val="Hyperlink"/>
            <w:noProof/>
          </w:rPr>
          <w:t>Dietary exposure = food chemical concentration x food consumption</w:t>
        </w:r>
        <w:r w:rsidR="009934EA">
          <w:rPr>
            <w:noProof/>
            <w:webHidden/>
          </w:rPr>
          <w:tab/>
        </w:r>
        <w:r w:rsidR="009934EA">
          <w:rPr>
            <w:noProof/>
            <w:webHidden/>
          </w:rPr>
          <w:fldChar w:fldCharType="begin"/>
        </w:r>
        <w:r w:rsidR="009934EA">
          <w:rPr>
            <w:noProof/>
            <w:webHidden/>
          </w:rPr>
          <w:instrText xml:space="preserve"> PAGEREF _Toc427684486 \h </w:instrText>
        </w:r>
        <w:r w:rsidR="009934EA">
          <w:rPr>
            <w:noProof/>
            <w:webHidden/>
          </w:rPr>
        </w:r>
        <w:r w:rsidR="009934EA">
          <w:rPr>
            <w:noProof/>
            <w:webHidden/>
          </w:rPr>
          <w:fldChar w:fldCharType="separate"/>
        </w:r>
        <w:r w:rsidR="009934EA">
          <w:rPr>
            <w:noProof/>
            <w:webHidden/>
          </w:rPr>
          <w:t>14</w:t>
        </w:r>
        <w:r w:rsidR="009934EA">
          <w:rPr>
            <w:noProof/>
            <w:webHidden/>
          </w:rPr>
          <w:fldChar w:fldCharType="end"/>
        </w:r>
      </w:hyperlink>
    </w:p>
    <w:p w14:paraId="6E0D81BC"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87" w:history="1">
        <w:r w:rsidR="009934EA" w:rsidRPr="0041065F">
          <w:rPr>
            <w:rStyle w:val="Hyperlink"/>
            <w:noProof/>
          </w:rPr>
          <w:t>A1.1</w:t>
        </w:r>
        <w:r w:rsidR="009934EA">
          <w:rPr>
            <w:rFonts w:eastAsiaTheme="minorEastAsia" w:cstheme="minorBidi"/>
            <w:i w:val="0"/>
            <w:iCs w:val="0"/>
            <w:noProof/>
            <w:sz w:val="22"/>
            <w:szCs w:val="22"/>
            <w:lang w:val="en-NZ" w:eastAsia="en-NZ" w:bidi="ar-SA"/>
          </w:rPr>
          <w:tab/>
        </w:r>
        <w:r w:rsidR="009934EA" w:rsidRPr="0041065F">
          <w:rPr>
            <w:rStyle w:val="Hyperlink"/>
            <w:noProof/>
          </w:rPr>
          <w:t>Food consumption data used</w:t>
        </w:r>
        <w:r w:rsidR="009934EA">
          <w:rPr>
            <w:noProof/>
            <w:webHidden/>
          </w:rPr>
          <w:tab/>
        </w:r>
        <w:r w:rsidR="009934EA">
          <w:rPr>
            <w:noProof/>
            <w:webHidden/>
          </w:rPr>
          <w:fldChar w:fldCharType="begin"/>
        </w:r>
        <w:r w:rsidR="009934EA">
          <w:rPr>
            <w:noProof/>
            <w:webHidden/>
          </w:rPr>
          <w:instrText xml:space="preserve"> PAGEREF _Toc427684487 \h </w:instrText>
        </w:r>
        <w:r w:rsidR="009934EA">
          <w:rPr>
            <w:noProof/>
            <w:webHidden/>
          </w:rPr>
        </w:r>
        <w:r w:rsidR="009934EA">
          <w:rPr>
            <w:noProof/>
            <w:webHidden/>
          </w:rPr>
          <w:fldChar w:fldCharType="separate"/>
        </w:r>
        <w:r w:rsidR="009934EA">
          <w:rPr>
            <w:noProof/>
            <w:webHidden/>
          </w:rPr>
          <w:t>14</w:t>
        </w:r>
        <w:r w:rsidR="009934EA">
          <w:rPr>
            <w:noProof/>
            <w:webHidden/>
          </w:rPr>
          <w:fldChar w:fldCharType="end"/>
        </w:r>
      </w:hyperlink>
    </w:p>
    <w:p w14:paraId="6E0D81BD" w14:textId="77777777" w:rsidR="009934EA" w:rsidRDefault="00FB77B3">
      <w:pPr>
        <w:pStyle w:val="TOC3"/>
        <w:tabs>
          <w:tab w:val="left" w:pos="1320"/>
          <w:tab w:val="right" w:leader="dot" w:pos="9060"/>
        </w:tabs>
        <w:rPr>
          <w:rFonts w:eastAsiaTheme="minorEastAsia" w:cstheme="minorBidi"/>
          <w:i w:val="0"/>
          <w:iCs w:val="0"/>
          <w:noProof/>
          <w:sz w:val="22"/>
          <w:szCs w:val="22"/>
          <w:lang w:val="en-NZ" w:eastAsia="en-NZ" w:bidi="ar-SA"/>
        </w:rPr>
      </w:pPr>
      <w:hyperlink w:anchor="_Toc427684488" w:history="1">
        <w:r w:rsidR="009934EA" w:rsidRPr="0041065F">
          <w:rPr>
            <w:rStyle w:val="Hyperlink"/>
            <w:noProof/>
          </w:rPr>
          <w:t>A1.1.2</w:t>
        </w:r>
        <w:r w:rsidR="009934EA">
          <w:rPr>
            <w:rFonts w:eastAsiaTheme="minorEastAsia" w:cstheme="minorBidi"/>
            <w:i w:val="0"/>
            <w:iCs w:val="0"/>
            <w:noProof/>
            <w:sz w:val="22"/>
            <w:szCs w:val="22"/>
            <w:lang w:val="en-NZ" w:eastAsia="en-NZ" w:bidi="ar-SA"/>
          </w:rPr>
          <w:tab/>
        </w:r>
        <w:r w:rsidR="009934EA" w:rsidRPr="0041065F">
          <w:rPr>
            <w:rStyle w:val="Hyperlink"/>
            <w:noProof/>
          </w:rPr>
          <w:t>2002 New Zealand National Children’s Nutrition Survey (2002 NZNNS)</w:t>
        </w:r>
        <w:r w:rsidR="009934EA">
          <w:rPr>
            <w:noProof/>
            <w:webHidden/>
          </w:rPr>
          <w:tab/>
        </w:r>
        <w:r w:rsidR="009934EA">
          <w:rPr>
            <w:noProof/>
            <w:webHidden/>
          </w:rPr>
          <w:fldChar w:fldCharType="begin"/>
        </w:r>
        <w:r w:rsidR="009934EA">
          <w:rPr>
            <w:noProof/>
            <w:webHidden/>
          </w:rPr>
          <w:instrText xml:space="preserve"> PAGEREF _Toc427684488 \h </w:instrText>
        </w:r>
        <w:r w:rsidR="009934EA">
          <w:rPr>
            <w:noProof/>
            <w:webHidden/>
          </w:rPr>
        </w:r>
        <w:r w:rsidR="009934EA">
          <w:rPr>
            <w:noProof/>
            <w:webHidden/>
          </w:rPr>
          <w:fldChar w:fldCharType="separate"/>
        </w:r>
        <w:r w:rsidR="009934EA">
          <w:rPr>
            <w:noProof/>
            <w:webHidden/>
          </w:rPr>
          <w:t>15</w:t>
        </w:r>
        <w:r w:rsidR="009934EA">
          <w:rPr>
            <w:noProof/>
            <w:webHidden/>
          </w:rPr>
          <w:fldChar w:fldCharType="end"/>
        </w:r>
      </w:hyperlink>
    </w:p>
    <w:p w14:paraId="6E0D81BE" w14:textId="77777777" w:rsidR="009934EA" w:rsidRDefault="00FB77B3">
      <w:pPr>
        <w:pStyle w:val="TOC3"/>
        <w:tabs>
          <w:tab w:val="left" w:pos="1320"/>
          <w:tab w:val="right" w:leader="dot" w:pos="9060"/>
        </w:tabs>
        <w:rPr>
          <w:rFonts w:eastAsiaTheme="minorEastAsia" w:cstheme="minorBidi"/>
          <w:i w:val="0"/>
          <w:iCs w:val="0"/>
          <w:noProof/>
          <w:sz w:val="22"/>
          <w:szCs w:val="22"/>
          <w:lang w:val="en-NZ" w:eastAsia="en-NZ" w:bidi="ar-SA"/>
        </w:rPr>
      </w:pPr>
      <w:hyperlink w:anchor="_Toc427684489" w:history="1">
        <w:r w:rsidR="009934EA" w:rsidRPr="0041065F">
          <w:rPr>
            <w:rStyle w:val="Hyperlink"/>
            <w:noProof/>
            <w:lang w:val="en-AU"/>
          </w:rPr>
          <w:t>A1.1.3</w:t>
        </w:r>
        <w:r w:rsidR="009934EA">
          <w:rPr>
            <w:rFonts w:eastAsiaTheme="minorEastAsia" w:cstheme="minorBidi"/>
            <w:i w:val="0"/>
            <w:iCs w:val="0"/>
            <w:noProof/>
            <w:sz w:val="22"/>
            <w:szCs w:val="22"/>
            <w:lang w:val="en-NZ" w:eastAsia="en-NZ" w:bidi="ar-SA"/>
          </w:rPr>
          <w:tab/>
        </w:r>
        <w:r w:rsidR="009934EA" w:rsidRPr="0041065F">
          <w:rPr>
            <w:rStyle w:val="Hyperlink"/>
            <w:noProof/>
            <w:lang w:val="en-AU"/>
          </w:rPr>
          <w:t>2008-09 New Zealand Adult Nutrition Survey (2008 NZANS)</w:t>
        </w:r>
        <w:r w:rsidR="009934EA">
          <w:rPr>
            <w:noProof/>
            <w:webHidden/>
          </w:rPr>
          <w:tab/>
        </w:r>
        <w:r w:rsidR="009934EA">
          <w:rPr>
            <w:noProof/>
            <w:webHidden/>
          </w:rPr>
          <w:fldChar w:fldCharType="begin"/>
        </w:r>
        <w:r w:rsidR="009934EA">
          <w:rPr>
            <w:noProof/>
            <w:webHidden/>
          </w:rPr>
          <w:instrText xml:space="preserve"> PAGEREF _Toc427684489 \h </w:instrText>
        </w:r>
        <w:r w:rsidR="009934EA">
          <w:rPr>
            <w:noProof/>
            <w:webHidden/>
          </w:rPr>
        </w:r>
        <w:r w:rsidR="009934EA">
          <w:rPr>
            <w:noProof/>
            <w:webHidden/>
          </w:rPr>
          <w:fldChar w:fldCharType="separate"/>
        </w:r>
        <w:r w:rsidR="009934EA">
          <w:rPr>
            <w:noProof/>
            <w:webHidden/>
          </w:rPr>
          <w:t>15</w:t>
        </w:r>
        <w:r w:rsidR="009934EA">
          <w:rPr>
            <w:noProof/>
            <w:webHidden/>
          </w:rPr>
          <w:fldChar w:fldCharType="end"/>
        </w:r>
      </w:hyperlink>
    </w:p>
    <w:p w14:paraId="6E0D81BF" w14:textId="77777777" w:rsidR="009934EA" w:rsidRDefault="00FB77B3">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90" w:history="1">
        <w:r w:rsidR="009934EA" w:rsidRPr="0041065F">
          <w:rPr>
            <w:rStyle w:val="Hyperlink"/>
            <w:noProof/>
          </w:rPr>
          <w:t>A1.2</w:t>
        </w:r>
        <w:r w:rsidR="009934EA">
          <w:rPr>
            <w:rFonts w:eastAsiaTheme="minorEastAsia" w:cstheme="minorBidi"/>
            <w:i w:val="0"/>
            <w:iCs w:val="0"/>
            <w:noProof/>
            <w:sz w:val="22"/>
            <w:szCs w:val="22"/>
            <w:lang w:val="en-NZ" w:eastAsia="en-NZ" w:bidi="ar-SA"/>
          </w:rPr>
          <w:tab/>
        </w:r>
        <w:r w:rsidR="009934EA" w:rsidRPr="0041065F">
          <w:rPr>
            <w:rStyle w:val="Hyperlink"/>
            <w:noProof/>
          </w:rPr>
          <w:t>Limitations of dietary exposure assessments</w:t>
        </w:r>
        <w:r w:rsidR="009934EA">
          <w:rPr>
            <w:noProof/>
            <w:webHidden/>
          </w:rPr>
          <w:tab/>
        </w:r>
        <w:r w:rsidR="009934EA">
          <w:rPr>
            <w:noProof/>
            <w:webHidden/>
          </w:rPr>
          <w:fldChar w:fldCharType="begin"/>
        </w:r>
        <w:r w:rsidR="009934EA">
          <w:rPr>
            <w:noProof/>
            <w:webHidden/>
          </w:rPr>
          <w:instrText xml:space="preserve"> PAGEREF _Toc427684490 \h </w:instrText>
        </w:r>
        <w:r w:rsidR="009934EA">
          <w:rPr>
            <w:noProof/>
            <w:webHidden/>
          </w:rPr>
        </w:r>
        <w:r w:rsidR="009934EA">
          <w:rPr>
            <w:noProof/>
            <w:webHidden/>
          </w:rPr>
          <w:fldChar w:fldCharType="separate"/>
        </w:r>
        <w:r w:rsidR="009934EA">
          <w:rPr>
            <w:noProof/>
            <w:webHidden/>
          </w:rPr>
          <w:t>15</w:t>
        </w:r>
        <w:r w:rsidR="009934EA">
          <w:rPr>
            <w:noProof/>
            <w:webHidden/>
          </w:rPr>
          <w:fldChar w:fldCharType="end"/>
        </w:r>
      </w:hyperlink>
    </w:p>
    <w:p w14:paraId="6E0D81C0" w14:textId="77777777" w:rsidR="009934EA" w:rsidRDefault="00FB77B3">
      <w:pPr>
        <w:pStyle w:val="TOC2"/>
        <w:tabs>
          <w:tab w:val="right" w:leader="dot" w:pos="9060"/>
        </w:tabs>
        <w:rPr>
          <w:rFonts w:eastAsiaTheme="minorEastAsia" w:cstheme="minorBidi"/>
          <w:smallCaps w:val="0"/>
          <w:noProof/>
          <w:sz w:val="22"/>
          <w:szCs w:val="22"/>
          <w:lang w:val="en-NZ" w:eastAsia="en-NZ" w:bidi="ar-SA"/>
        </w:rPr>
      </w:pPr>
      <w:hyperlink w:anchor="_Toc427684491" w:history="1">
        <w:r w:rsidR="009934EA" w:rsidRPr="0041065F">
          <w:rPr>
            <w:rStyle w:val="Hyperlink"/>
            <w:noProof/>
          </w:rPr>
          <w:t>Appendix 2 – Dietary Exposure Assessment Results</w:t>
        </w:r>
        <w:r w:rsidR="009934EA">
          <w:rPr>
            <w:noProof/>
            <w:webHidden/>
          </w:rPr>
          <w:tab/>
        </w:r>
        <w:r w:rsidR="009934EA">
          <w:rPr>
            <w:noProof/>
            <w:webHidden/>
          </w:rPr>
          <w:fldChar w:fldCharType="begin"/>
        </w:r>
        <w:r w:rsidR="009934EA">
          <w:rPr>
            <w:noProof/>
            <w:webHidden/>
          </w:rPr>
          <w:instrText xml:space="preserve"> PAGEREF _Toc427684491 \h </w:instrText>
        </w:r>
        <w:r w:rsidR="009934EA">
          <w:rPr>
            <w:noProof/>
            <w:webHidden/>
          </w:rPr>
        </w:r>
        <w:r w:rsidR="009934EA">
          <w:rPr>
            <w:noProof/>
            <w:webHidden/>
          </w:rPr>
          <w:fldChar w:fldCharType="separate"/>
        </w:r>
        <w:r w:rsidR="009934EA">
          <w:rPr>
            <w:noProof/>
            <w:webHidden/>
          </w:rPr>
          <w:t>16</w:t>
        </w:r>
        <w:r w:rsidR="009934EA">
          <w:rPr>
            <w:noProof/>
            <w:webHidden/>
          </w:rPr>
          <w:fldChar w:fldCharType="end"/>
        </w:r>
      </w:hyperlink>
    </w:p>
    <w:p w14:paraId="6E0D81C1" w14:textId="77777777" w:rsidR="007907A6" w:rsidRPr="007907A6" w:rsidRDefault="007907A6" w:rsidP="005B76DA">
      <w:r>
        <w:rPr>
          <w:lang w:bidi="ar-SA"/>
        </w:rPr>
        <w:fldChar w:fldCharType="end"/>
      </w:r>
    </w:p>
    <w:p w14:paraId="6E0D81C2" w14:textId="77777777" w:rsidR="00F223EF" w:rsidRDefault="00F223EF" w:rsidP="001713AF">
      <w:pPr>
        <w:rPr>
          <w:sz w:val="36"/>
          <w:szCs w:val="28"/>
          <w:lang w:bidi="ar-SA"/>
        </w:rPr>
      </w:pPr>
      <w:bookmarkStart w:id="4" w:name="_Toc360028613"/>
      <w:bookmarkStart w:id="5" w:name="_Toc269201837"/>
      <w:r>
        <w:br w:type="page"/>
      </w:r>
    </w:p>
    <w:p w14:paraId="6E0D81C3" w14:textId="77777777" w:rsidR="00F223EF" w:rsidRPr="00486D31" w:rsidRDefault="001D378C" w:rsidP="00346D6F">
      <w:pPr>
        <w:pStyle w:val="Heading1"/>
      </w:pPr>
      <w:bookmarkStart w:id="6" w:name="_Toc427684452"/>
      <w:r>
        <w:lastRenderedPageBreak/>
        <w:t>1</w:t>
      </w:r>
      <w:r>
        <w:tab/>
      </w:r>
      <w:r w:rsidR="00F223EF">
        <w:t>I</w:t>
      </w:r>
      <w:r>
        <w:t>ntroduction</w:t>
      </w:r>
      <w:bookmarkEnd w:id="6"/>
    </w:p>
    <w:p w14:paraId="6E0D81C4" w14:textId="77777777" w:rsidR="00301B67" w:rsidRDefault="00E92B55" w:rsidP="002D5BE7">
      <w:r>
        <w:t>FSANZ received an A</w:t>
      </w:r>
      <w:r w:rsidR="00301B67">
        <w:t>pplication from Brooke-Taylor &amp; Co Pty Ltd, on behalf of The Wrigley Company Pty Ltd, seeking approval for an increase in the maximum permitted level</w:t>
      </w:r>
      <w:r w:rsidR="00E015AC">
        <w:t xml:space="preserve"> (MPL) for acesulphame potassium (Ace K) in chewing gum</w:t>
      </w:r>
      <w:r w:rsidR="006B4988">
        <w:t>. The current MPL</w:t>
      </w:r>
      <w:r w:rsidR="003B6B89">
        <w:t xml:space="preserve"> in the</w:t>
      </w:r>
      <w:r w:rsidR="003B6B89" w:rsidRPr="003B6B89">
        <w:rPr>
          <w:i/>
        </w:rPr>
        <w:t xml:space="preserve"> </w:t>
      </w:r>
      <w:r w:rsidR="003B6B89" w:rsidRPr="00C32F1C">
        <w:rPr>
          <w:i/>
        </w:rPr>
        <w:t>Australia New Zealand Food Standards Code</w:t>
      </w:r>
      <w:r w:rsidR="003B6B89">
        <w:t xml:space="preserve"> (the Code)</w:t>
      </w:r>
      <w:r w:rsidR="006B4988">
        <w:t xml:space="preserve"> is </w:t>
      </w:r>
      <w:r w:rsidR="00F2296D">
        <w:t xml:space="preserve">2000 mg/kg </w:t>
      </w:r>
      <w:r w:rsidR="006B4988">
        <w:t xml:space="preserve">and the proposed MPL is </w:t>
      </w:r>
      <w:r w:rsidR="003B6B89">
        <w:t>5000 </w:t>
      </w:r>
      <w:r w:rsidR="00F2296D">
        <w:t>mg/kg</w:t>
      </w:r>
      <w:r w:rsidR="00E56A07">
        <w:t xml:space="preserve"> which is the MPL </w:t>
      </w:r>
      <w:r w:rsidR="005D0961">
        <w:t xml:space="preserve">for Ace K in chewing gum </w:t>
      </w:r>
      <w:r w:rsidR="00E56A07">
        <w:t xml:space="preserve">in the </w:t>
      </w:r>
      <w:r w:rsidR="00E56A07" w:rsidRPr="00E56A07">
        <w:t>Codex General St</w:t>
      </w:r>
      <w:r w:rsidR="005D0961">
        <w:t>andard for Food Additives</w:t>
      </w:r>
      <w:r w:rsidR="00E56A07">
        <w:t>.</w:t>
      </w:r>
      <w:r w:rsidR="005D0961">
        <w:rPr>
          <w:rStyle w:val="FootnoteReference"/>
        </w:rPr>
        <w:footnoteReference w:id="2"/>
      </w:r>
      <w:r w:rsidR="007A0B0E" w:rsidRPr="007A0B0E">
        <w:t xml:space="preserve"> </w:t>
      </w:r>
      <w:r w:rsidR="002D5BE7" w:rsidRPr="002D5BE7">
        <w:t>The purpose of the requested increase in MPL is to allow the sale of chewing gum</w:t>
      </w:r>
      <w:r w:rsidR="00412325">
        <w:t xml:space="preserve"> products</w:t>
      </w:r>
      <w:r w:rsidR="002D5BE7" w:rsidRPr="002D5BE7">
        <w:t xml:space="preserve"> in Austr</w:t>
      </w:r>
      <w:r w:rsidR="00412325">
        <w:t>alia and New Zealand which have</w:t>
      </w:r>
      <w:r w:rsidR="002D5BE7" w:rsidRPr="002D5BE7">
        <w:t xml:space="preserve"> flavour </w:t>
      </w:r>
      <w:r w:rsidR="00412325" w:rsidRPr="002D5BE7">
        <w:t xml:space="preserve">(sweetness) </w:t>
      </w:r>
      <w:r w:rsidR="002D5BE7" w:rsidRPr="002D5BE7">
        <w:t>profile</w:t>
      </w:r>
      <w:r w:rsidR="00412325">
        <w:t>s</w:t>
      </w:r>
      <w:r w:rsidR="002D5BE7" w:rsidRPr="002D5BE7">
        <w:t xml:space="preserve"> similar to chewing gums available in overseas markets.</w:t>
      </w:r>
    </w:p>
    <w:p w14:paraId="6E0D81C5" w14:textId="77777777" w:rsidR="00E015AC" w:rsidRDefault="00E015AC" w:rsidP="00301B67"/>
    <w:p w14:paraId="6E0D81C6" w14:textId="77777777" w:rsidR="00F223EF" w:rsidRDefault="00C32F1C" w:rsidP="005B76DA">
      <w:pPr>
        <w:ind w:right="-286"/>
      </w:pPr>
      <w:r w:rsidRPr="00C32F1C">
        <w:t>Ace</w:t>
      </w:r>
      <w:r w:rsidR="00E015AC">
        <w:t xml:space="preserve"> K</w:t>
      </w:r>
      <w:r w:rsidRPr="00C32F1C">
        <w:t xml:space="preserve"> is a food additive with technological purposes as an intense sweetener and as a flavour enhancer. It has been a permitted food additive </w:t>
      </w:r>
      <w:r w:rsidR="00E13BFE">
        <w:t xml:space="preserve">in </w:t>
      </w:r>
      <w:r w:rsidR="003B6B89">
        <w:t>the Code</w:t>
      </w:r>
      <w:r w:rsidR="00415ABA">
        <w:t xml:space="preserve"> for many years</w:t>
      </w:r>
      <w:r w:rsidRPr="00C32F1C">
        <w:t xml:space="preserve"> in a range of food categories as detailed in </w:t>
      </w:r>
      <w:r w:rsidR="00067E0D">
        <w:t xml:space="preserve">the table to </w:t>
      </w:r>
      <w:r w:rsidR="00DE3F9C">
        <w:t xml:space="preserve">section </w:t>
      </w:r>
      <w:r w:rsidR="00DE3F9C" w:rsidRPr="00C32F1C">
        <w:t xml:space="preserve">S15-5 </w:t>
      </w:r>
      <w:r w:rsidRPr="00C32F1C">
        <w:t xml:space="preserve">(Food Additives). One of these permissions is for </w:t>
      </w:r>
      <w:r w:rsidR="00067E0D">
        <w:t>item</w:t>
      </w:r>
      <w:r w:rsidR="00067E0D" w:rsidRPr="00C32F1C">
        <w:t xml:space="preserve"> </w:t>
      </w:r>
      <w:r w:rsidRPr="00C32F1C">
        <w:t>5 – Confectionery, which includes chewing gum, with a</w:t>
      </w:r>
      <w:r w:rsidR="00E015AC">
        <w:t>n</w:t>
      </w:r>
      <w:r w:rsidRPr="00C32F1C">
        <w:t xml:space="preserve"> </w:t>
      </w:r>
      <w:r w:rsidR="00E015AC">
        <w:t xml:space="preserve">MPL </w:t>
      </w:r>
      <w:r w:rsidRPr="00C32F1C">
        <w:t>of 2000 mg/kg.</w:t>
      </w:r>
    </w:p>
    <w:p w14:paraId="6E0D81C7" w14:textId="77777777" w:rsidR="00E015AC" w:rsidRPr="00E015AC" w:rsidRDefault="001D378C" w:rsidP="00346D6F">
      <w:pPr>
        <w:pStyle w:val="Heading2"/>
      </w:pPr>
      <w:bookmarkStart w:id="7" w:name="_Toc427684453"/>
      <w:r>
        <w:t>1.1</w:t>
      </w:r>
      <w:r>
        <w:tab/>
      </w:r>
      <w:r w:rsidR="00E015AC" w:rsidRPr="00E015AC">
        <w:t xml:space="preserve">Objectives of the </w:t>
      </w:r>
      <w:r w:rsidR="007907A6">
        <w:t>a</w:t>
      </w:r>
      <w:r w:rsidR="00E015AC" w:rsidRPr="00E015AC">
        <w:t>ssessment</w:t>
      </w:r>
      <w:bookmarkEnd w:id="7"/>
      <w:r w:rsidR="00E015AC" w:rsidRPr="00E015AC">
        <w:t xml:space="preserve"> </w:t>
      </w:r>
    </w:p>
    <w:p w14:paraId="6E0D81C8" w14:textId="77777777" w:rsidR="00E015AC" w:rsidRDefault="00E015AC" w:rsidP="00E015AC">
      <w:r w:rsidRPr="00E015AC">
        <w:t xml:space="preserve">The objectives of this risk and technical assessment are to: </w:t>
      </w:r>
    </w:p>
    <w:p w14:paraId="6E0D81C9" w14:textId="77777777" w:rsidR="00E015AC" w:rsidRPr="00E015AC" w:rsidRDefault="00E015AC" w:rsidP="00E015AC"/>
    <w:p w14:paraId="6E0D81CA" w14:textId="77777777" w:rsidR="00E015AC" w:rsidRPr="00E015AC" w:rsidRDefault="00E015AC" w:rsidP="005B76DA">
      <w:pPr>
        <w:pStyle w:val="FSBullet1"/>
      </w:pPr>
      <w:r w:rsidRPr="00E015AC">
        <w:t xml:space="preserve">determine whether the proposed </w:t>
      </w:r>
      <w:r w:rsidR="003B6B89">
        <w:t xml:space="preserve">increase in the maximum permitted level </w:t>
      </w:r>
      <w:r w:rsidR="00106262">
        <w:t xml:space="preserve">is </w:t>
      </w:r>
      <w:r w:rsidR="00A4538F">
        <w:t>justified</w:t>
      </w:r>
      <w:r w:rsidR="00106262">
        <w:t xml:space="preserve"> and that Ace K</w:t>
      </w:r>
      <w:r w:rsidRPr="00E015AC">
        <w:t xml:space="preserve"> achieves its technological function in the quantity proposed to be used as a food additive </w:t>
      </w:r>
      <w:r w:rsidR="00106262">
        <w:t>in chewing gum</w:t>
      </w:r>
      <w:r w:rsidR="00A4538F">
        <w:t>;</w:t>
      </w:r>
    </w:p>
    <w:p w14:paraId="6E0D81CB" w14:textId="77777777" w:rsidR="00E015AC" w:rsidRPr="00E015AC" w:rsidRDefault="00E015AC" w:rsidP="00E015AC"/>
    <w:p w14:paraId="6E0D81CC" w14:textId="77777777" w:rsidR="00E015AC" w:rsidRDefault="00E015AC" w:rsidP="005B76DA">
      <w:pPr>
        <w:pStyle w:val="FSBullet1"/>
      </w:pPr>
      <w:r w:rsidRPr="00E015AC">
        <w:t xml:space="preserve">evaluate any potential public health and safety concerns that may arise from </w:t>
      </w:r>
      <w:r>
        <w:t xml:space="preserve">an increase in the maximum permitted level </w:t>
      </w:r>
      <w:r w:rsidRPr="00E015AC">
        <w:t xml:space="preserve">of </w:t>
      </w:r>
      <w:r>
        <w:t>Ace K</w:t>
      </w:r>
      <w:r w:rsidRPr="00E015AC">
        <w:t xml:space="preserve"> </w:t>
      </w:r>
      <w:r>
        <w:t>in chewing gum</w:t>
      </w:r>
      <w:r w:rsidRPr="00E015AC">
        <w:t xml:space="preserve">. </w:t>
      </w:r>
    </w:p>
    <w:p w14:paraId="6E0D81CD" w14:textId="77777777" w:rsidR="001D378C" w:rsidRPr="001D378C" w:rsidRDefault="001D378C" w:rsidP="005B76DA">
      <w:pPr>
        <w:rPr>
          <w:lang w:bidi="ar-SA"/>
        </w:rPr>
      </w:pPr>
    </w:p>
    <w:p w14:paraId="6E0D81CE" w14:textId="77777777" w:rsidR="00F223EF" w:rsidRPr="00486D31" w:rsidRDefault="001D378C" w:rsidP="001D378C">
      <w:pPr>
        <w:pStyle w:val="Heading1"/>
      </w:pPr>
      <w:bookmarkStart w:id="8" w:name="_Toc427684454"/>
      <w:r>
        <w:t>2</w:t>
      </w:r>
      <w:r>
        <w:tab/>
      </w:r>
      <w:r w:rsidR="00F223EF">
        <w:t>F</w:t>
      </w:r>
      <w:r>
        <w:t>ood technology assessment</w:t>
      </w:r>
      <w:bookmarkEnd w:id="8"/>
    </w:p>
    <w:p w14:paraId="6E0D81CF" w14:textId="77777777" w:rsidR="00F223EF" w:rsidRDefault="001D378C" w:rsidP="00346D6F">
      <w:pPr>
        <w:pStyle w:val="Heading2"/>
      </w:pPr>
      <w:bookmarkStart w:id="9" w:name="_Toc427684455"/>
      <w:r>
        <w:t>2.1</w:t>
      </w:r>
      <w:r>
        <w:tab/>
      </w:r>
      <w:r w:rsidR="00F223EF" w:rsidRPr="00FC5343">
        <w:t xml:space="preserve">Characterisation of </w:t>
      </w:r>
      <w:r w:rsidR="001713AF">
        <w:t>acesulphame potassium</w:t>
      </w:r>
      <w:bookmarkEnd w:id="9"/>
    </w:p>
    <w:p w14:paraId="6E0D81D0" w14:textId="77777777" w:rsidR="00F223EF" w:rsidRDefault="001D378C" w:rsidP="002A1327">
      <w:pPr>
        <w:pStyle w:val="Heading3"/>
      </w:pPr>
      <w:bookmarkStart w:id="10" w:name="_Toc427684456"/>
      <w:r>
        <w:t>2.1.1</w:t>
      </w:r>
      <w:r>
        <w:tab/>
      </w:r>
      <w:r w:rsidR="00F223EF" w:rsidRPr="00FC5343">
        <w:t>Identity of the food additive</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5360"/>
      </w:tblGrid>
      <w:tr w:rsidR="00F223EF" w:rsidRPr="001713AF" w14:paraId="6E0D81D5" w14:textId="77777777" w:rsidTr="001713AF">
        <w:tc>
          <w:tcPr>
            <w:tcW w:w="3882" w:type="dxa"/>
          </w:tcPr>
          <w:p w14:paraId="6E0D81D1" w14:textId="77777777" w:rsidR="00C32F1C" w:rsidRDefault="00C32F1C" w:rsidP="001713AF">
            <w:pPr>
              <w:spacing w:after="120"/>
              <w:rPr>
                <w:rFonts w:ascii="Arial" w:hAnsi="Arial" w:cs="Arial"/>
                <w:sz w:val="22"/>
                <w:szCs w:val="22"/>
              </w:rPr>
            </w:pPr>
            <w:r>
              <w:rPr>
                <w:rFonts w:ascii="Arial" w:hAnsi="Arial" w:cs="Arial"/>
                <w:sz w:val="22"/>
                <w:szCs w:val="22"/>
              </w:rPr>
              <w:t>Common name</w:t>
            </w:r>
            <w:r w:rsidR="00F223EF" w:rsidRPr="001713AF">
              <w:rPr>
                <w:rFonts w:ascii="Arial" w:hAnsi="Arial" w:cs="Arial"/>
                <w:sz w:val="22"/>
                <w:szCs w:val="22"/>
              </w:rPr>
              <w:t>:</w:t>
            </w:r>
          </w:p>
          <w:p w14:paraId="6E0D81D2" w14:textId="77777777" w:rsidR="00F223EF" w:rsidRPr="001713AF" w:rsidRDefault="00C32F1C" w:rsidP="001713AF">
            <w:pPr>
              <w:spacing w:after="120"/>
              <w:rPr>
                <w:rFonts w:ascii="Arial" w:hAnsi="Arial" w:cs="Arial"/>
                <w:sz w:val="22"/>
                <w:szCs w:val="22"/>
              </w:rPr>
            </w:pPr>
            <w:r w:rsidRPr="00C32F1C">
              <w:rPr>
                <w:rFonts w:ascii="Arial" w:hAnsi="Arial" w:cs="Arial"/>
                <w:sz w:val="22"/>
                <w:szCs w:val="22"/>
              </w:rPr>
              <w:t>Other names:</w:t>
            </w:r>
          </w:p>
        </w:tc>
        <w:tc>
          <w:tcPr>
            <w:tcW w:w="5360" w:type="dxa"/>
          </w:tcPr>
          <w:p w14:paraId="6E0D81D3" w14:textId="77777777" w:rsidR="00C32F1C" w:rsidRDefault="00C32F1C" w:rsidP="001713AF">
            <w:pPr>
              <w:spacing w:after="120"/>
              <w:rPr>
                <w:rFonts w:ascii="Arial" w:hAnsi="Arial" w:cs="Arial"/>
                <w:sz w:val="22"/>
                <w:szCs w:val="22"/>
              </w:rPr>
            </w:pPr>
            <w:r w:rsidRPr="00C32F1C">
              <w:rPr>
                <w:rFonts w:ascii="Arial" w:hAnsi="Arial" w:cs="Arial"/>
                <w:sz w:val="22"/>
                <w:szCs w:val="22"/>
              </w:rPr>
              <w:t>Acesulphame potassium (Ace K)</w:t>
            </w:r>
          </w:p>
          <w:p w14:paraId="6E0D81D4" w14:textId="77777777" w:rsidR="00F223EF" w:rsidRPr="001713AF" w:rsidRDefault="00C32F1C" w:rsidP="001713AF">
            <w:pPr>
              <w:spacing w:after="120"/>
              <w:rPr>
                <w:rFonts w:ascii="Arial" w:hAnsi="Arial" w:cs="Arial"/>
                <w:sz w:val="22"/>
                <w:szCs w:val="22"/>
              </w:rPr>
            </w:pPr>
            <w:r w:rsidRPr="00C32F1C">
              <w:rPr>
                <w:rFonts w:ascii="Arial" w:hAnsi="Arial" w:cs="Arial"/>
                <w:sz w:val="22"/>
                <w:szCs w:val="22"/>
              </w:rPr>
              <w:t>Acesulfame potassium (Codex spelling); Acesulfame K; potassium salt of 6-methyl-1,2,3-oxathiazine-4(3H)-one-2,2-dioxide; potassium salt of 3,4-dihydro-6-methyl-1,2,3-oxathiazine-4-one-2,2-dioxide</w:t>
            </w:r>
          </w:p>
        </w:tc>
      </w:tr>
      <w:tr w:rsidR="00F223EF" w:rsidRPr="001713AF" w14:paraId="6E0D81D8" w14:textId="77777777" w:rsidTr="001713AF">
        <w:tc>
          <w:tcPr>
            <w:tcW w:w="3882" w:type="dxa"/>
          </w:tcPr>
          <w:p w14:paraId="6E0D81D6"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t>INS Number:</w:t>
            </w:r>
            <w:r w:rsidR="00C32F1C">
              <w:rPr>
                <w:rFonts w:ascii="Arial" w:hAnsi="Arial" w:cs="Arial"/>
                <w:sz w:val="22"/>
                <w:szCs w:val="22"/>
              </w:rPr>
              <w:t xml:space="preserve"> </w:t>
            </w:r>
          </w:p>
        </w:tc>
        <w:tc>
          <w:tcPr>
            <w:tcW w:w="5360" w:type="dxa"/>
          </w:tcPr>
          <w:p w14:paraId="6E0D81D7" w14:textId="77777777" w:rsidR="00F223EF" w:rsidRPr="001713AF" w:rsidRDefault="00C32F1C" w:rsidP="001713AF">
            <w:pPr>
              <w:spacing w:after="120"/>
              <w:rPr>
                <w:rFonts w:ascii="Arial" w:hAnsi="Arial" w:cs="Arial"/>
                <w:sz w:val="22"/>
                <w:szCs w:val="22"/>
              </w:rPr>
            </w:pPr>
            <w:r>
              <w:rPr>
                <w:rFonts w:ascii="Arial" w:hAnsi="Arial" w:cs="Arial"/>
                <w:sz w:val="22"/>
                <w:szCs w:val="22"/>
              </w:rPr>
              <w:t>950</w:t>
            </w:r>
          </w:p>
        </w:tc>
      </w:tr>
      <w:tr w:rsidR="00F223EF" w:rsidRPr="001713AF" w14:paraId="6E0D81DB" w14:textId="77777777" w:rsidTr="001713AF">
        <w:tc>
          <w:tcPr>
            <w:tcW w:w="3882" w:type="dxa"/>
          </w:tcPr>
          <w:p w14:paraId="6E0D81D9"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t>Chemical Abstract (CAS) Number:</w:t>
            </w:r>
            <w:r w:rsidR="00C32F1C">
              <w:rPr>
                <w:rFonts w:ascii="Arial" w:hAnsi="Arial" w:cs="Arial"/>
                <w:sz w:val="22"/>
                <w:szCs w:val="22"/>
              </w:rPr>
              <w:t xml:space="preserve"> </w:t>
            </w:r>
          </w:p>
        </w:tc>
        <w:tc>
          <w:tcPr>
            <w:tcW w:w="5360" w:type="dxa"/>
          </w:tcPr>
          <w:p w14:paraId="6E0D81DA" w14:textId="77777777" w:rsidR="00F223EF" w:rsidRPr="001713AF" w:rsidRDefault="00C32F1C" w:rsidP="001713AF">
            <w:pPr>
              <w:spacing w:after="120"/>
              <w:rPr>
                <w:rFonts w:ascii="Arial" w:hAnsi="Arial" w:cs="Arial"/>
                <w:sz w:val="22"/>
                <w:szCs w:val="22"/>
              </w:rPr>
            </w:pPr>
            <w:r w:rsidRPr="00C32F1C">
              <w:rPr>
                <w:rFonts w:ascii="Arial" w:hAnsi="Arial" w:cs="Arial"/>
                <w:sz w:val="22"/>
                <w:szCs w:val="22"/>
              </w:rPr>
              <w:t>55589-62-3</w:t>
            </w:r>
          </w:p>
        </w:tc>
      </w:tr>
      <w:tr w:rsidR="00F223EF" w:rsidRPr="001713AF" w14:paraId="6E0D81DE" w14:textId="77777777" w:rsidTr="001713AF">
        <w:tc>
          <w:tcPr>
            <w:tcW w:w="3882" w:type="dxa"/>
          </w:tcPr>
          <w:p w14:paraId="6E0D81DC"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t>Chemical formula:</w:t>
            </w:r>
          </w:p>
        </w:tc>
        <w:tc>
          <w:tcPr>
            <w:tcW w:w="5360" w:type="dxa"/>
          </w:tcPr>
          <w:p w14:paraId="6E0D81DD" w14:textId="77777777" w:rsidR="00F223EF" w:rsidRPr="00C32F1C" w:rsidRDefault="00C32F1C" w:rsidP="00C32F1C">
            <w:pPr>
              <w:rPr>
                <w:rFonts w:ascii="Arial" w:hAnsi="Arial" w:cs="Arial"/>
                <w:sz w:val="22"/>
                <w:szCs w:val="22"/>
              </w:rPr>
            </w:pPr>
            <w:r w:rsidRPr="00C32F1C">
              <w:rPr>
                <w:rFonts w:ascii="Arial" w:hAnsi="Arial" w:cs="Arial"/>
                <w:sz w:val="22"/>
                <w:szCs w:val="22"/>
                <w:lang w:eastAsia="en-AU" w:bidi="ar-SA"/>
              </w:rPr>
              <w:t>C</w:t>
            </w:r>
            <w:r w:rsidRPr="00C32F1C">
              <w:rPr>
                <w:rFonts w:ascii="Arial" w:hAnsi="Arial" w:cs="Arial"/>
                <w:sz w:val="22"/>
                <w:szCs w:val="22"/>
                <w:vertAlign w:val="subscript"/>
                <w:lang w:eastAsia="en-AU" w:bidi="ar-SA"/>
              </w:rPr>
              <w:t>4</w:t>
            </w:r>
            <w:r w:rsidRPr="00C32F1C">
              <w:rPr>
                <w:rFonts w:ascii="Arial" w:hAnsi="Arial" w:cs="Arial"/>
                <w:sz w:val="22"/>
                <w:szCs w:val="22"/>
                <w:lang w:eastAsia="en-AU" w:bidi="ar-SA"/>
              </w:rPr>
              <w:t>H</w:t>
            </w:r>
            <w:r w:rsidRPr="00C32F1C">
              <w:rPr>
                <w:rFonts w:ascii="Arial" w:hAnsi="Arial" w:cs="Arial"/>
                <w:sz w:val="22"/>
                <w:szCs w:val="22"/>
                <w:vertAlign w:val="subscript"/>
                <w:lang w:eastAsia="en-AU" w:bidi="ar-SA"/>
              </w:rPr>
              <w:t>4</w:t>
            </w:r>
            <w:r w:rsidRPr="00C32F1C">
              <w:rPr>
                <w:rFonts w:ascii="Arial" w:hAnsi="Arial" w:cs="Arial"/>
                <w:sz w:val="22"/>
                <w:szCs w:val="22"/>
                <w:lang w:eastAsia="en-AU" w:bidi="ar-SA"/>
              </w:rPr>
              <w:t>KNO</w:t>
            </w:r>
            <w:r w:rsidRPr="00C32F1C">
              <w:rPr>
                <w:rFonts w:ascii="Arial" w:hAnsi="Arial" w:cs="Arial"/>
                <w:sz w:val="22"/>
                <w:szCs w:val="22"/>
                <w:vertAlign w:val="subscript"/>
                <w:lang w:eastAsia="en-AU" w:bidi="ar-SA"/>
              </w:rPr>
              <w:t>4</w:t>
            </w:r>
            <w:r w:rsidRPr="00C32F1C">
              <w:rPr>
                <w:rFonts w:ascii="Arial" w:hAnsi="Arial" w:cs="Arial"/>
                <w:sz w:val="22"/>
                <w:szCs w:val="22"/>
                <w:lang w:eastAsia="en-AU" w:bidi="ar-SA"/>
              </w:rPr>
              <w:t>S</w:t>
            </w:r>
          </w:p>
        </w:tc>
      </w:tr>
      <w:tr w:rsidR="00F223EF" w:rsidRPr="001713AF" w14:paraId="6E0D81E1" w14:textId="77777777" w:rsidTr="001713AF">
        <w:tc>
          <w:tcPr>
            <w:tcW w:w="3882" w:type="dxa"/>
          </w:tcPr>
          <w:p w14:paraId="6E0D81DF"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t>Molecular weight:</w:t>
            </w:r>
          </w:p>
        </w:tc>
        <w:tc>
          <w:tcPr>
            <w:tcW w:w="5360" w:type="dxa"/>
          </w:tcPr>
          <w:p w14:paraId="6E0D81E0" w14:textId="77777777" w:rsidR="00F223EF" w:rsidRPr="001713AF" w:rsidRDefault="00C32F1C" w:rsidP="001713AF">
            <w:pPr>
              <w:spacing w:after="120"/>
              <w:rPr>
                <w:rFonts w:ascii="Arial" w:hAnsi="Arial" w:cs="Arial"/>
                <w:sz w:val="22"/>
                <w:szCs w:val="22"/>
              </w:rPr>
            </w:pPr>
            <w:r w:rsidRPr="00C32F1C">
              <w:rPr>
                <w:rFonts w:ascii="Arial" w:hAnsi="Arial" w:cs="Arial"/>
                <w:sz w:val="22"/>
                <w:szCs w:val="22"/>
              </w:rPr>
              <w:t>201.24 g/mol</w:t>
            </w:r>
          </w:p>
        </w:tc>
      </w:tr>
      <w:tr w:rsidR="00F223EF" w:rsidRPr="001713AF" w14:paraId="6E0D81E4" w14:textId="77777777" w:rsidTr="001713AF">
        <w:tc>
          <w:tcPr>
            <w:tcW w:w="3882" w:type="dxa"/>
          </w:tcPr>
          <w:p w14:paraId="6E0D81E2"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lastRenderedPageBreak/>
              <w:t>Structural formula:</w:t>
            </w:r>
          </w:p>
        </w:tc>
        <w:tc>
          <w:tcPr>
            <w:tcW w:w="5360" w:type="dxa"/>
          </w:tcPr>
          <w:p w14:paraId="6E0D81E3" w14:textId="77777777" w:rsidR="00F223EF" w:rsidRPr="001713AF" w:rsidRDefault="00C32F1C" w:rsidP="001713AF">
            <w:pPr>
              <w:spacing w:after="120"/>
              <w:rPr>
                <w:rFonts w:ascii="Arial" w:hAnsi="Arial" w:cs="Arial"/>
                <w:sz w:val="22"/>
                <w:szCs w:val="22"/>
                <w:highlight w:val="magenta"/>
              </w:rPr>
            </w:pPr>
            <w:r>
              <w:rPr>
                <w:rFonts w:cs="Arial"/>
                <w:noProof/>
                <w:szCs w:val="22"/>
                <w:lang w:bidi="ar-SA"/>
              </w:rPr>
              <w:drawing>
                <wp:inline distT="0" distB="0" distL="0" distR="0" wp14:anchorId="6E0D83B8" wp14:editId="6E0D83B9">
                  <wp:extent cx="1762964" cy="126330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5431" cy="1265073"/>
                          </a:xfrm>
                          <a:prstGeom prst="rect">
                            <a:avLst/>
                          </a:prstGeom>
                          <a:noFill/>
                        </pic:spPr>
                      </pic:pic>
                    </a:graphicData>
                  </a:graphic>
                </wp:inline>
              </w:drawing>
            </w:r>
          </w:p>
        </w:tc>
      </w:tr>
    </w:tbl>
    <w:p w14:paraId="6E0D81E5" w14:textId="77777777" w:rsidR="00F223EF" w:rsidRDefault="001D378C" w:rsidP="002A1327">
      <w:pPr>
        <w:pStyle w:val="Heading3"/>
      </w:pPr>
      <w:bookmarkStart w:id="11" w:name="_Toc427684457"/>
      <w:r>
        <w:t>2.1.2</w:t>
      </w:r>
      <w:r>
        <w:tab/>
      </w:r>
      <w:r w:rsidR="00F223EF" w:rsidRPr="00395340">
        <w:t xml:space="preserve">Physical </w:t>
      </w:r>
      <w:r w:rsidR="00C9117D">
        <w:t xml:space="preserve">and chemical </w:t>
      </w:r>
      <w:r w:rsidR="00F223EF" w:rsidRPr="00395340">
        <w:t>properties</w:t>
      </w:r>
      <w:bookmarkEnd w:id="11"/>
    </w:p>
    <w:p w14:paraId="6E0D81E6" w14:textId="77777777" w:rsidR="00F223EF" w:rsidRPr="004803DF" w:rsidRDefault="00C32F1C" w:rsidP="001713AF">
      <w:pPr>
        <w:rPr>
          <w:szCs w:val="22"/>
        </w:rPr>
      </w:pPr>
      <w:r w:rsidRPr="00C32F1C">
        <w:rPr>
          <w:szCs w:val="22"/>
        </w:rPr>
        <w:t xml:space="preserve">Ace K is an odourless free-flowing white crystalline powder. It is freely soluble in water and only slightly soluble in ethanol. Ace K does not have a definitive melting point but it decomposes well above 200°C. Decomposition appears to be dependent on the heating rate. It does not decompose during normal food processing conditions. Aqueous solutions of Ace K are </w:t>
      </w:r>
      <w:r w:rsidR="000911CD">
        <w:rPr>
          <w:szCs w:val="22"/>
        </w:rPr>
        <w:t>approximately</w:t>
      </w:r>
      <w:r w:rsidRPr="00C32F1C">
        <w:rPr>
          <w:szCs w:val="22"/>
        </w:rPr>
        <w:t xml:space="preserve"> neutral</w:t>
      </w:r>
      <w:r>
        <w:rPr>
          <w:szCs w:val="22"/>
        </w:rPr>
        <w:t xml:space="preserve"> in pH</w:t>
      </w:r>
      <w:r w:rsidRPr="00C32F1C">
        <w:rPr>
          <w:szCs w:val="22"/>
        </w:rPr>
        <w:t>. Solid Ace K has a very long shelf life at room temperature and it does not need to be protected from sunlight. The specific gravity of the powder is 1.</w:t>
      </w:r>
      <w:r>
        <w:rPr>
          <w:szCs w:val="22"/>
        </w:rPr>
        <w:t>81 </w:t>
      </w:r>
      <w:r w:rsidRPr="00C32F1C">
        <w:rPr>
          <w:szCs w:val="22"/>
        </w:rPr>
        <w:t>g/cm</w:t>
      </w:r>
      <w:r w:rsidRPr="00C32F1C">
        <w:rPr>
          <w:szCs w:val="22"/>
          <w:vertAlign w:val="superscript"/>
        </w:rPr>
        <w:t>3</w:t>
      </w:r>
      <w:r w:rsidRPr="00C32F1C">
        <w:rPr>
          <w:szCs w:val="22"/>
        </w:rPr>
        <w:t>.</w:t>
      </w:r>
    </w:p>
    <w:p w14:paraId="6E0D81E7" w14:textId="77777777" w:rsidR="00F223EF" w:rsidRDefault="001D378C" w:rsidP="00346D6F">
      <w:pPr>
        <w:pStyle w:val="Heading2"/>
      </w:pPr>
      <w:bookmarkStart w:id="12" w:name="_Toc427684458"/>
      <w:r>
        <w:t>2.2</w:t>
      </w:r>
      <w:r>
        <w:tab/>
      </w:r>
      <w:r w:rsidR="00F223EF" w:rsidRPr="00395340">
        <w:t xml:space="preserve">Production of </w:t>
      </w:r>
      <w:r w:rsidR="00302E89">
        <w:t>acesulphame potassium</w:t>
      </w:r>
      <w:bookmarkEnd w:id="12"/>
    </w:p>
    <w:p w14:paraId="6E0D81E8" w14:textId="77777777" w:rsidR="00F223EF" w:rsidRDefault="00AE75B4" w:rsidP="00AE75B4">
      <w:r>
        <w:t>Ace K is produced by chemical synthesis, not by extraction or reactions of various sugars. There are a variety of different production routes using different raw materials (</w:t>
      </w:r>
      <w:r w:rsidR="00D22CB2">
        <w:t xml:space="preserve">von Rymon Lipinski and Hanger </w:t>
      </w:r>
      <w:r w:rsidR="00D22CB2" w:rsidRPr="00D22CB2">
        <w:t>2001)</w:t>
      </w:r>
      <w:r>
        <w:t>.</w:t>
      </w:r>
    </w:p>
    <w:p w14:paraId="6E0D81E9" w14:textId="77777777" w:rsidR="00F223EF" w:rsidRPr="00395340" w:rsidRDefault="001D378C" w:rsidP="00346D6F">
      <w:pPr>
        <w:pStyle w:val="Heading2"/>
      </w:pPr>
      <w:bookmarkStart w:id="13" w:name="_Toc427684459"/>
      <w:r>
        <w:t>2.3</w:t>
      </w:r>
      <w:r>
        <w:tab/>
      </w:r>
      <w:r w:rsidR="00F223EF" w:rsidRPr="00395340">
        <w:t>Specifications</w:t>
      </w:r>
      <w:bookmarkEnd w:id="13"/>
    </w:p>
    <w:p w14:paraId="6E0D81EA" w14:textId="77777777" w:rsidR="00983A31" w:rsidRDefault="00983A31" w:rsidP="00983A31">
      <w:pPr>
        <w:rPr>
          <w:lang w:bidi="ar-SA"/>
        </w:rPr>
      </w:pPr>
      <w:r>
        <w:rPr>
          <w:lang w:bidi="ar-SA"/>
        </w:rPr>
        <w:t xml:space="preserve">Both the Combined Compendium of Food Additive specifications of the Joint FAO/WHO Expert Committee on Food Additives (JECFA) and the Food Chemicals Codex have specifications for Ace K. Both these references are primary sources of specification in clause 2 of </w:t>
      </w:r>
      <w:r w:rsidR="00067E0D">
        <w:rPr>
          <w:lang w:bidi="ar-SA"/>
        </w:rPr>
        <w:t xml:space="preserve">section </w:t>
      </w:r>
      <w:r>
        <w:rPr>
          <w:lang w:bidi="ar-SA"/>
        </w:rPr>
        <w:t>S3</w:t>
      </w:r>
      <w:r w:rsidR="00067E0D">
        <w:rPr>
          <w:lang w:bidi="ar-SA"/>
        </w:rPr>
        <w:t>–-</w:t>
      </w:r>
      <w:r>
        <w:rPr>
          <w:lang w:bidi="ar-SA"/>
        </w:rPr>
        <w:t xml:space="preserve">2 in the revised Code). </w:t>
      </w:r>
    </w:p>
    <w:p w14:paraId="6E0D81EB" w14:textId="77777777" w:rsidR="003C49C4" w:rsidRDefault="001D378C" w:rsidP="00346D6F">
      <w:pPr>
        <w:pStyle w:val="Heading2"/>
      </w:pPr>
      <w:bookmarkStart w:id="14" w:name="_Toc427684460"/>
      <w:r>
        <w:t>2.4</w:t>
      </w:r>
      <w:r>
        <w:tab/>
      </w:r>
      <w:r w:rsidR="003C49C4">
        <w:t>Analytical methods</w:t>
      </w:r>
      <w:bookmarkEnd w:id="14"/>
    </w:p>
    <w:p w14:paraId="6E0D81EC" w14:textId="77777777" w:rsidR="003C49C4" w:rsidRPr="00802FC0" w:rsidRDefault="003C49C4" w:rsidP="00802FC0">
      <w:r w:rsidRPr="00802FC0">
        <w:t xml:space="preserve">Ace K can be identified and quantified in foods and beverages using reverse-phase High Performance Liquid Chromatography (HPLC) using UV </w:t>
      </w:r>
      <w:r w:rsidRPr="00802FC0">
        <w:rPr>
          <w:bCs/>
        </w:rPr>
        <w:t>detection at 227 </w:t>
      </w:r>
      <w:r w:rsidRPr="00802FC0">
        <w:t>nm. Products containing protein or carbohydrate should be clarified by adding zinc sulphate and potassium hexacyanoferrate</w:t>
      </w:r>
      <w:r w:rsidRPr="00802FC0">
        <w:rPr>
          <w:bCs/>
        </w:rPr>
        <w:t xml:space="preserve"> prior to analysis</w:t>
      </w:r>
      <w:r w:rsidRPr="00802FC0">
        <w:t>. Analytical methods have been developed that can separate and quantify other intense sweeteners used in combination with Ace K.</w:t>
      </w:r>
    </w:p>
    <w:p w14:paraId="6E0D81ED" w14:textId="77777777" w:rsidR="00F223EF" w:rsidRDefault="001D378C" w:rsidP="00346D6F">
      <w:pPr>
        <w:pStyle w:val="Heading2"/>
      </w:pPr>
      <w:bookmarkStart w:id="15" w:name="_Toc427684461"/>
      <w:r>
        <w:t>2.5</w:t>
      </w:r>
      <w:r>
        <w:tab/>
      </w:r>
      <w:r w:rsidR="00F223EF" w:rsidRPr="00FC5343">
        <w:t>Technological function</w:t>
      </w:r>
      <w:bookmarkEnd w:id="15"/>
    </w:p>
    <w:p w14:paraId="6E0D81EE" w14:textId="77777777" w:rsidR="00983A31" w:rsidRDefault="00983A31" w:rsidP="00983A31">
      <w:r>
        <w:t xml:space="preserve">Ace K has the sweetness </w:t>
      </w:r>
      <w:r w:rsidR="000911CD">
        <w:t>intensity of about 200 times that</w:t>
      </w:r>
      <w:r>
        <w:t xml:space="preserve"> of sucrose (</w:t>
      </w:r>
      <w:r w:rsidR="00050BD5">
        <w:t xml:space="preserve">3% w/v </w:t>
      </w:r>
      <w:r>
        <w:t xml:space="preserve">solution). The </w:t>
      </w:r>
      <w:r w:rsidR="003C49C4">
        <w:t xml:space="preserve">relative </w:t>
      </w:r>
      <w:r>
        <w:t>sweetness intensity reduces in comparison to sucrose as the sucrose concentration increases. Ace K is about as sweet as aspartame, half as sweet as saccharin and four to five times as sweet as cyc</w:t>
      </w:r>
      <w:r w:rsidR="00D22CB2">
        <w:t>lamate (</w:t>
      </w:r>
      <w:r w:rsidR="00D22CB2" w:rsidRPr="00D22CB2">
        <w:t xml:space="preserve">von Rymon Lipinski </w:t>
      </w:r>
      <w:r w:rsidR="00D22CB2">
        <w:t xml:space="preserve">and </w:t>
      </w:r>
      <w:r w:rsidR="00D22CB2" w:rsidRPr="00D22CB2">
        <w:t>Hanger</w:t>
      </w:r>
      <w:r w:rsidR="00D22CB2">
        <w:t xml:space="preserve"> 2001</w:t>
      </w:r>
      <w:r>
        <w:t>).</w:t>
      </w:r>
    </w:p>
    <w:p w14:paraId="6E0D81EF" w14:textId="77777777" w:rsidR="00983A31" w:rsidRDefault="00983A31" w:rsidP="00983A31"/>
    <w:p w14:paraId="6E0D81F0" w14:textId="77777777" w:rsidR="001D378C" w:rsidRDefault="00983A31" w:rsidP="00983A31">
      <w:r>
        <w:t>Ace K is noted to have early onset sweetness compared to other intense sweeteners. That is w</w:t>
      </w:r>
      <w:r w:rsidR="000F66C8">
        <w:t>hy it is often used in sweetener</w:t>
      </w:r>
      <w:r>
        <w:t xml:space="preserve"> blends, such as for the current Application in chewing gum where it is used in combination with aspartame which provides the later sweetness onset. The sweet taste does not linger beyond that of the intrinsic taste of the food. There is also a strong synergistic taste enhancement noted when Ace K is blended with aspartame (and separately also with sucralose and neotame). Also the lingering sweetness of aspartame and sucralose is substantially reduced wh</w:t>
      </w:r>
      <w:r w:rsidR="000F66C8">
        <w:t xml:space="preserve">en blended with Ace K. </w:t>
      </w:r>
      <w:r w:rsidR="001D378C">
        <w:br w:type="page"/>
      </w:r>
    </w:p>
    <w:p w14:paraId="6E0D81F1" w14:textId="77777777" w:rsidR="00983A31" w:rsidRDefault="000F66C8" w:rsidP="00983A31">
      <w:r>
        <w:lastRenderedPageBreak/>
        <w:t>Sweetener</w:t>
      </w:r>
      <w:r w:rsidR="00983A31">
        <w:t xml:space="preserve"> blends therefore help the final product taste more similar to sucrose, which is important for sugar-free products.</w:t>
      </w:r>
    </w:p>
    <w:p w14:paraId="6E0D81F2" w14:textId="77777777" w:rsidR="00983A31" w:rsidRDefault="00983A31" w:rsidP="00983A31"/>
    <w:p w14:paraId="6E0D81F3" w14:textId="77777777" w:rsidR="00F223EF" w:rsidRDefault="00983A31" w:rsidP="00983A31">
      <w:r>
        <w:t xml:space="preserve">Ace K also has synergistic effects when used with sugar alcohols </w:t>
      </w:r>
      <w:r w:rsidR="00AE551A">
        <w:t xml:space="preserve">(e.g. sorbitol, xylitol) </w:t>
      </w:r>
      <w:r>
        <w:t>where the sugar alcohols provide the bulk and texture but have a lower sweetness intensity compared to sucrose. Such blends can provide a good sweetness and taste profile. The low sweetness intensity of the sugar alcohol is enhanced by the addition of Ace K, which also provides earlier sweetness onset. The blend ratio for using Ace K with sugar alcohols is at least 1:100 where the sugar alcohols are acting as bulk sweeteners. Ace K also has flavour enhancing function when used w</w:t>
      </w:r>
      <w:r w:rsidR="00824840">
        <w:t>ith flavourings added to food.</w:t>
      </w:r>
    </w:p>
    <w:p w14:paraId="6E0D81F4" w14:textId="77777777" w:rsidR="00CF3410" w:rsidRDefault="001D378C" w:rsidP="002A1327">
      <w:pPr>
        <w:pStyle w:val="Heading3"/>
      </w:pPr>
      <w:bookmarkStart w:id="16" w:name="_Toc427684462"/>
      <w:r>
        <w:t>2.5.1</w:t>
      </w:r>
      <w:r>
        <w:tab/>
      </w:r>
      <w:r w:rsidR="00CF3410">
        <w:t>Use in chewing gum</w:t>
      </w:r>
      <w:bookmarkEnd w:id="16"/>
    </w:p>
    <w:p w14:paraId="6E0D81F5" w14:textId="77777777" w:rsidR="00CF3410" w:rsidRDefault="00CF3410" w:rsidP="00CF3410">
      <w:r>
        <w:t>Intense sweeteners and sugar alcohols (bulk sweeteners) added to chewing gum need to be water soluble so the sweetness is released by dissolving in the saliva in the mouth. Since Ace K is readily water soluble it provides early onset of sweetness to provide the initial sweet taste. However, the Ace K sweetness does not linger for long so it is augmented by using other intense sweeteners in the blend such as aspartame. These intense sweetener blends enhance the low sweetness of the sugar alcohols often use</w:t>
      </w:r>
      <w:r w:rsidR="008310E4">
        <w:t>d in sugarless chewing gum. Ace </w:t>
      </w:r>
      <w:r>
        <w:t>K also has flavour enhancing properties when used with flavoured chewing gum, especially mint flavoured chewing gum or fruit flavoured bubble gum.</w:t>
      </w:r>
    </w:p>
    <w:p w14:paraId="6E0D81F6" w14:textId="77777777" w:rsidR="00CF3410" w:rsidRDefault="00CF3410" w:rsidP="00CF3410"/>
    <w:p w14:paraId="6E0D81F7" w14:textId="77777777" w:rsidR="00CF3410" w:rsidRDefault="00CF3410" w:rsidP="00CF3410">
      <w:r>
        <w:t>To extend the sweetness of chewing gum the intense sweeteners can be encapsulated so they provide a slower, more progressive release of sweetness as the chewing gum is chewed. This also limits the initial high sweetness spike.</w:t>
      </w:r>
    </w:p>
    <w:p w14:paraId="6E0D81F8" w14:textId="77777777" w:rsidR="00CF3410" w:rsidRDefault="00CF3410" w:rsidP="00CF3410"/>
    <w:p w14:paraId="6E0D81F9" w14:textId="77777777" w:rsidR="00CF3410" w:rsidRDefault="00CF3410" w:rsidP="00CF3410">
      <w:r>
        <w:t xml:space="preserve">The fine crystals of Ace K can be blended directly into the chewing gum mass. If sorbitol syrup is used as the sugar alcohol base then Ace K can be dissolved initially into the syrup. </w:t>
      </w:r>
    </w:p>
    <w:p w14:paraId="6E0D81FA" w14:textId="77777777" w:rsidR="00CF3410" w:rsidRDefault="00CF3410" w:rsidP="00CF3410"/>
    <w:p w14:paraId="6E0D81FB" w14:textId="77777777" w:rsidR="00CF3410" w:rsidRDefault="00CF3410" w:rsidP="00CF3410">
      <w:r>
        <w:t>Ace K is quite stable in chewing gum. There have been no</w:t>
      </w:r>
      <w:r w:rsidR="008310E4">
        <w:t xml:space="preserve"> reactions observed between Ace </w:t>
      </w:r>
      <w:r>
        <w:t>K and flavours added to chewing gum. As noted earlier Ace K has synergistic flavour effects when used with other intense sweeteners such as aspartame, as well as with sugar alcohols, and it does not have any negative reactions with these other sweeteners.</w:t>
      </w:r>
    </w:p>
    <w:p w14:paraId="6E0D81FC" w14:textId="77777777" w:rsidR="00CF3410" w:rsidRDefault="00CF3410" w:rsidP="00CF3410"/>
    <w:p w14:paraId="6E0D81FD" w14:textId="77777777" w:rsidR="00F223EF" w:rsidRDefault="00CF3410" w:rsidP="00CF3410">
      <w:r>
        <w:t>Ace K can also have positive flavour enhancing effects when added in relatively small amounts (a few hundred mg/kg) to flavoured sugar-based chewing gum to prolong the flavour perception.</w:t>
      </w:r>
    </w:p>
    <w:p w14:paraId="6E0D81FE" w14:textId="77777777" w:rsidR="00F223EF" w:rsidRDefault="001D378C" w:rsidP="00346D6F">
      <w:pPr>
        <w:pStyle w:val="Heading2"/>
      </w:pPr>
      <w:bookmarkStart w:id="17" w:name="_Toc427684463"/>
      <w:r>
        <w:t>2.6</w:t>
      </w:r>
      <w:r>
        <w:tab/>
      </w:r>
      <w:r w:rsidR="00F223EF" w:rsidRPr="00346D6F">
        <w:t>Food</w:t>
      </w:r>
      <w:r w:rsidR="00F223EF" w:rsidRPr="00CD5323">
        <w:t xml:space="preserve"> technology conclusion</w:t>
      </w:r>
      <w:bookmarkEnd w:id="17"/>
    </w:p>
    <w:p w14:paraId="6E0D81FF" w14:textId="77777777" w:rsidR="00F54C86" w:rsidRDefault="00C95474" w:rsidP="00517CE4">
      <w:r>
        <w:t>Ace K</w:t>
      </w:r>
      <w:r w:rsidR="003C49C4" w:rsidRPr="003C49C4">
        <w:t xml:space="preserve"> is </w:t>
      </w:r>
      <w:r w:rsidR="003C49C4">
        <w:t xml:space="preserve">currently </w:t>
      </w:r>
      <w:r w:rsidR="003C49C4" w:rsidRPr="003C49C4">
        <w:t xml:space="preserve">permitted </w:t>
      </w:r>
      <w:r w:rsidR="003C49C4">
        <w:t xml:space="preserve">as an </w:t>
      </w:r>
      <w:r w:rsidR="003C49C4" w:rsidRPr="003C49C4">
        <w:t xml:space="preserve">intense sweetener that can be added to chewing gum. There are specifications for </w:t>
      </w:r>
      <w:r w:rsidR="0009095C">
        <w:t>Ace K</w:t>
      </w:r>
      <w:r w:rsidR="003C49C4" w:rsidRPr="003C49C4">
        <w:t xml:space="preserve"> in the Code and analytical methods are available to detect and quantify its presence in food. </w:t>
      </w:r>
      <w:r>
        <w:t>Ace K</w:t>
      </w:r>
      <w:r w:rsidR="003C49C4" w:rsidRPr="003C49C4">
        <w:t xml:space="preserve"> is often used in sweetener blends used in chewing gum to provide early sweetness onset, as well as having a synergistic effect with other intense sweeteners and sugar alcohols used in chewing gum to produce a sweetness profile more like sucrose. An increase in the </w:t>
      </w:r>
      <w:r>
        <w:t>MPL</w:t>
      </w:r>
      <w:r w:rsidR="003C49C4" w:rsidRPr="003C49C4">
        <w:t xml:space="preserve"> for </w:t>
      </w:r>
      <w:r>
        <w:t>Ace K</w:t>
      </w:r>
      <w:r w:rsidR="003C49C4" w:rsidRPr="003C49C4">
        <w:t xml:space="preserve"> in chewing gum </w:t>
      </w:r>
      <w:r w:rsidR="008310E4">
        <w:t xml:space="preserve">will </w:t>
      </w:r>
      <w:r w:rsidR="002D5BE7" w:rsidRPr="002D5BE7">
        <w:t xml:space="preserve">allow the sale of chewing gum in Australia and New Zealand </w:t>
      </w:r>
      <w:r w:rsidR="000F66C8">
        <w:t>with desired</w:t>
      </w:r>
      <w:r w:rsidR="002D5BE7" w:rsidRPr="002D5BE7">
        <w:t xml:space="preserve"> flavour </w:t>
      </w:r>
      <w:r w:rsidR="000F66C8">
        <w:t>(</w:t>
      </w:r>
      <w:r w:rsidR="000F66C8" w:rsidRPr="002D5BE7">
        <w:t>sweetness</w:t>
      </w:r>
      <w:r w:rsidR="000F66C8">
        <w:t>)</w:t>
      </w:r>
      <w:r w:rsidR="000F66C8" w:rsidRPr="002D5BE7">
        <w:t xml:space="preserve"> </w:t>
      </w:r>
      <w:r w:rsidR="000F66C8">
        <w:t>profile</w:t>
      </w:r>
      <w:r w:rsidR="00C1179E">
        <w:t>s</w:t>
      </w:r>
      <w:r w:rsidR="000F66C8">
        <w:t xml:space="preserve">. </w:t>
      </w:r>
    </w:p>
    <w:p w14:paraId="6E0D8200" w14:textId="77777777" w:rsidR="001D378C" w:rsidRDefault="001D378C" w:rsidP="00517CE4"/>
    <w:p w14:paraId="6E0D8201" w14:textId="77777777" w:rsidR="00F223EF" w:rsidRDefault="001D378C" w:rsidP="00346D6F">
      <w:pPr>
        <w:pStyle w:val="Heading1"/>
      </w:pPr>
      <w:bookmarkStart w:id="18" w:name="_Toc426529242"/>
      <w:bookmarkStart w:id="19" w:name="_Toc427684464"/>
      <w:r>
        <w:lastRenderedPageBreak/>
        <w:t>3</w:t>
      </w:r>
      <w:bookmarkEnd w:id="18"/>
      <w:r>
        <w:tab/>
      </w:r>
      <w:bookmarkStart w:id="20" w:name="_Ref421269523"/>
      <w:bookmarkStart w:id="21" w:name="_Ref421269531"/>
      <w:r w:rsidR="00F223EF" w:rsidRPr="00346D6F">
        <w:t>H</w:t>
      </w:r>
      <w:r w:rsidRPr="00346D6F">
        <w:t>azard</w:t>
      </w:r>
      <w:r>
        <w:t xml:space="preserve"> assessment</w:t>
      </w:r>
      <w:bookmarkEnd w:id="19"/>
      <w:bookmarkEnd w:id="20"/>
      <w:bookmarkEnd w:id="21"/>
    </w:p>
    <w:p w14:paraId="6E0D8202" w14:textId="77777777" w:rsidR="00415ABA" w:rsidRDefault="006001D5" w:rsidP="00346D6F">
      <w:pPr>
        <w:pStyle w:val="Heading2"/>
      </w:pPr>
      <w:bookmarkStart w:id="22" w:name="_Toc427684465"/>
      <w:r>
        <w:t>3.1</w:t>
      </w:r>
      <w:r>
        <w:tab/>
      </w:r>
      <w:r w:rsidR="00415ABA" w:rsidRPr="00346D6F">
        <w:t>Background</w:t>
      </w:r>
      <w:bookmarkEnd w:id="22"/>
    </w:p>
    <w:p w14:paraId="6E0D8203" w14:textId="77777777" w:rsidR="00F223EF" w:rsidRDefault="006001D5" w:rsidP="002A1327">
      <w:pPr>
        <w:pStyle w:val="Heading3"/>
      </w:pPr>
      <w:bookmarkStart w:id="23" w:name="_Toc426468468"/>
      <w:bookmarkStart w:id="24" w:name="_Toc426475568"/>
      <w:bookmarkStart w:id="25" w:name="_Toc426468469"/>
      <w:bookmarkStart w:id="26" w:name="_Toc426475569"/>
      <w:bookmarkStart w:id="27" w:name="_Toc427684466"/>
      <w:bookmarkEnd w:id="23"/>
      <w:bookmarkEnd w:id="24"/>
      <w:bookmarkEnd w:id="25"/>
      <w:bookmarkEnd w:id="26"/>
      <w:r>
        <w:t>3.1.1</w:t>
      </w:r>
      <w:r>
        <w:tab/>
      </w:r>
      <w:r w:rsidR="00415ABA" w:rsidRPr="00415ABA">
        <w:t xml:space="preserve">Assessments by </w:t>
      </w:r>
      <w:r w:rsidR="00704151">
        <w:t>JECFA</w:t>
      </w:r>
      <w:bookmarkEnd w:id="27"/>
      <w:r w:rsidR="00704151">
        <w:t xml:space="preserve"> </w:t>
      </w:r>
    </w:p>
    <w:p w14:paraId="6E0D8204" w14:textId="77777777" w:rsidR="00346D6F" w:rsidRDefault="00D82D42" w:rsidP="001713AF">
      <w:r>
        <w:t xml:space="preserve">The toxicological database </w:t>
      </w:r>
      <w:r w:rsidR="003F2AD1">
        <w:t>for</w:t>
      </w:r>
      <w:r>
        <w:t xml:space="preserve"> </w:t>
      </w:r>
      <w:r w:rsidR="0064732E">
        <w:t>Ace K</w:t>
      </w:r>
      <w:r w:rsidR="0064732E" w:rsidRPr="0064732E">
        <w:t xml:space="preserve"> </w:t>
      </w:r>
      <w:r w:rsidR="0064732E">
        <w:t>has been evaluated by JECFA on three</w:t>
      </w:r>
      <w:r w:rsidR="007C0B41">
        <w:t xml:space="preserve"> occasions:</w:t>
      </w:r>
      <w:r w:rsidR="0064732E" w:rsidRPr="0064732E">
        <w:t xml:space="preserve"> at the 25</w:t>
      </w:r>
      <w:r w:rsidR="0064732E" w:rsidRPr="0064732E">
        <w:rPr>
          <w:vertAlign w:val="superscript"/>
        </w:rPr>
        <w:t>th</w:t>
      </w:r>
      <w:r w:rsidR="0064732E" w:rsidRPr="0064732E">
        <w:t>, 27</w:t>
      </w:r>
      <w:r w:rsidR="0064732E" w:rsidRPr="0064732E">
        <w:rPr>
          <w:vertAlign w:val="superscript"/>
        </w:rPr>
        <w:t>th</w:t>
      </w:r>
      <w:r w:rsidR="0064732E" w:rsidRPr="0064732E">
        <w:t xml:space="preserve"> and 37</w:t>
      </w:r>
      <w:r w:rsidR="0064732E" w:rsidRPr="0064732E">
        <w:rPr>
          <w:vertAlign w:val="superscript"/>
        </w:rPr>
        <w:t>th</w:t>
      </w:r>
      <w:r w:rsidR="0064732E" w:rsidRPr="0064732E">
        <w:t xml:space="preserve"> meetings (</w:t>
      </w:r>
      <w:r w:rsidR="00B145BA">
        <w:t>WHO 1981</w:t>
      </w:r>
      <w:r w:rsidR="008331A0">
        <w:t>a</w:t>
      </w:r>
      <w:r w:rsidR="00B145BA">
        <w:t>;</w:t>
      </w:r>
      <w:r w:rsidR="0064732E" w:rsidRPr="0064732E">
        <w:t xml:space="preserve"> </w:t>
      </w:r>
      <w:r w:rsidR="00B145BA">
        <w:t>WHO 1983</w:t>
      </w:r>
      <w:r w:rsidR="005F53C4">
        <w:t>a</w:t>
      </w:r>
      <w:r w:rsidR="00B145BA">
        <w:t xml:space="preserve">; WHO </w:t>
      </w:r>
      <w:r w:rsidR="00C5442C">
        <w:t>1991</w:t>
      </w:r>
      <w:r w:rsidR="0064732E" w:rsidRPr="0064732E">
        <w:t xml:space="preserve">). </w:t>
      </w:r>
      <w:r w:rsidR="00E00A3C">
        <w:t xml:space="preserve">At </w:t>
      </w:r>
      <w:r w:rsidR="005F394A">
        <w:t>its</w:t>
      </w:r>
      <w:r w:rsidR="00E00A3C">
        <w:t xml:space="preserve"> 25</w:t>
      </w:r>
      <w:r w:rsidR="00E00A3C" w:rsidRPr="00E00A3C">
        <w:rPr>
          <w:vertAlign w:val="superscript"/>
        </w:rPr>
        <w:t>th</w:t>
      </w:r>
      <w:r w:rsidR="00E00A3C">
        <w:t xml:space="preserve"> meeting, JECFA concluded that there were insufficient data to </w:t>
      </w:r>
      <w:r>
        <w:t xml:space="preserve">establish </w:t>
      </w:r>
      <w:r w:rsidR="00E00A3C">
        <w:t xml:space="preserve">an ADI. </w:t>
      </w:r>
      <w:r w:rsidR="00F9543F">
        <w:t>Additional</w:t>
      </w:r>
      <w:r w:rsidR="006C1FF3">
        <w:t xml:space="preserve"> data were available for the</w:t>
      </w:r>
      <w:r w:rsidR="00C5442C">
        <w:t xml:space="preserve"> 27</w:t>
      </w:r>
      <w:r w:rsidR="00C5442C" w:rsidRPr="00C5442C">
        <w:rPr>
          <w:vertAlign w:val="superscript"/>
        </w:rPr>
        <w:t>th</w:t>
      </w:r>
      <w:r w:rsidR="006C1FF3">
        <w:t xml:space="preserve"> meeting and JECFA</w:t>
      </w:r>
      <w:r w:rsidR="00E00A3C">
        <w:t xml:space="preserve"> </w:t>
      </w:r>
      <w:r w:rsidR="00C5442C">
        <w:t>concluded th</w:t>
      </w:r>
      <w:r w:rsidR="003A53D4">
        <w:t>at there was no evidence that Ace K</w:t>
      </w:r>
      <w:r w:rsidR="00C5442C">
        <w:t xml:space="preserve"> was mutagenic or carcinogenic. In long-term (2-year) feeding studies in rats and dogs, the no observed effect level </w:t>
      </w:r>
      <w:r w:rsidR="003A53D4">
        <w:t xml:space="preserve">(NOEL) </w:t>
      </w:r>
      <w:r w:rsidR="00C5442C">
        <w:t>for Ace K was 1500 mg/</w:t>
      </w:r>
      <w:r w:rsidR="007C0B41">
        <w:t>kg bw/day in rats and 900 mg/kg </w:t>
      </w:r>
      <w:r w:rsidR="00C5442C">
        <w:t>bw/day in</w:t>
      </w:r>
      <w:r w:rsidR="00937AA5">
        <w:t xml:space="preserve"> dogs</w:t>
      </w:r>
      <w:r w:rsidR="005F394A">
        <w:t xml:space="preserve"> (highest tested </w:t>
      </w:r>
      <w:r w:rsidR="003C67F5">
        <w:t>dose</w:t>
      </w:r>
      <w:r w:rsidR="005F394A">
        <w:t xml:space="preserve"> in each study).</w:t>
      </w:r>
      <w:r w:rsidR="00937AA5">
        <w:t xml:space="preserve"> A</w:t>
      </w:r>
      <w:r w:rsidR="00C5442C">
        <w:t xml:space="preserve">n </w:t>
      </w:r>
      <w:r w:rsidR="00E00A3C">
        <w:t>ADI</w:t>
      </w:r>
      <w:r w:rsidR="00937AA5">
        <w:t xml:space="preserve"> of 0–9 mg/kg </w:t>
      </w:r>
      <w:r w:rsidR="00C5442C">
        <w:t xml:space="preserve">bw </w:t>
      </w:r>
      <w:r w:rsidR="00937AA5">
        <w:t xml:space="preserve">was </w:t>
      </w:r>
      <w:r w:rsidR="00FC210D">
        <w:t>established</w:t>
      </w:r>
      <w:r w:rsidR="00937AA5">
        <w:t xml:space="preserve"> </w:t>
      </w:r>
      <w:r w:rsidR="00C5442C">
        <w:t>based on the</w:t>
      </w:r>
      <w:r w:rsidR="003A53D4">
        <w:t xml:space="preserve"> NOEL observed in the</w:t>
      </w:r>
      <w:r w:rsidR="00C5442C">
        <w:t xml:space="preserve"> dog study and application of a </w:t>
      </w:r>
      <w:r w:rsidR="00D0012A">
        <w:t>safety factor of 100 (WHO 1983</w:t>
      </w:r>
      <w:r w:rsidR="003C67F5">
        <w:t>a</w:t>
      </w:r>
      <w:r w:rsidR="005F53C4">
        <w:t>, 1983b</w:t>
      </w:r>
      <w:r w:rsidR="00C5442C">
        <w:t>)</w:t>
      </w:r>
      <w:r w:rsidR="00F5093D">
        <w:t>. A</w:t>
      </w:r>
      <w:r w:rsidR="003A53D4">
        <w:t xml:space="preserve">t </w:t>
      </w:r>
      <w:r w:rsidR="005F394A">
        <w:t>its</w:t>
      </w:r>
      <w:r w:rsidR="003A53D4">
        <w:t xml:space="preserve"> 37</w:t>
      </w:r>
      <w:r w:rsidR="003A53D4" w:rsidRPr="003A53D4">
        <w:rPr>
          <w:vertAlign w:val="superscript"/>
        </w:rPr>
        <w:t>th</w:t>
      </w:r>
      <w:r w:rsidR="003A53D4">
        <w:t xml:space="preserve"> meeting, </w:t>
      </w:r>
      <w:r w:rsidR="0064732E" w:rsidRPr="0064732E">
        <w:t xml:space="preserve">JECFA </w:t>
      </w:r>
      <w:r w:rsidR="003A53D4">
        <w:t xml:space="preserve">reviewed additional data including pharmacokinetic data in rats and humans. </w:t>
      </w:r>
      <w:r w:rsidR="00FB25F3">
        <w:t xml:space="preserve">From these data </w:t>
      </w:r>
      <w:r w:rsidR="003A53D4">
        <w:t xml:space="preserve">JECFA concluded that the rat was an appropriate </w:t>
      </w:r>
      <w:r w:rsidR="005F394A">
        <w:t xml:space="preserve">surrogate </w:t>
      </w:r>
      <w:r w:rsidR="003A53D4">
        <w:t xml:space="preserve">model for humans and </w:t>
      </w:r>
      <w:r w:rsidR="00FC210D">
        <w:t>withdrew the existing ADI. The Committee then established</w:t>
      </w:r>
      <w:r w:rsidR="0064732E">
        <w:t xml:space="preserve"> an </w:t>
      </w:r>
      <w:r w:rsidR="003A53D4">
        <w:t>ADI of 0–</w:t>
      </w:r>
      <w:r w:rsidR="0074318E">
        <w:t>15 </w:t>
      </w:r>
      <w:r w:rsidR="0064732E" w:rsidRPr="0064732E">
        <w:t xml:space="preserve">mg/kg </w:t>
      </w:r>
      <w:r w:rsidR="0064732E">
        <w:t>bw</w:t>
      </w:r>
      <w:r w:rsidR="0064732E" w:rsidRPr="0064732E">
        <w:t xml:space="preserve"> </w:t>
      </w:r>
      <w:r w:rsidR="00FB25F3">
        <w:t>based</w:t>
      </w:r>
      <w:r w:rsidR="003A53D4">
        <w:t xml:space="preserve"> on the above rat </w:t>
      </w:r>
      <w:r w:rsidR="00E00A3C">
        <w:t>NOEL of 1500</w:t>
      </w:r>
      <w:r w:rsidR="00C95474">
        <w:t> </w:t>
      </w:r>
      <w:r w:rsidR="00E00A3C">
        <w:t>mg/kg bw/day</w:t>
      </w:r>
      <w:r w:rsidR="003A53D4">
        <w:t xml:space="preserve"> </w:t>
      </w:r>
      <w:r w:rsidR="00704151">
        <w:t xml:space="preserve">and a safety factor of 100 </w:t>
      </w:r>
      <w:r w:rsidR="003A53D4">
        <w:t>(WHO 1991)</w:t>
      </w:r>
      <w:r w:rsidR="0064732E" w:rsidRPr="0064732E">
        <w:t>.</w:t>
      </w:r>
    </w:p>
    <w:p w14:paraId="6E0D8205" w14:textId="77777777" w:rsidR="00F223EF" w:rsidRDefault="006001D5" w:rsidP="00346D6F">
      <w:pPr>
        <w:pStyle w:val="Heading2"/>
      </w:pPr>
      <w:bookmarkStart w:id="28" w:name="_Toc427684467"/>
      <w:r>
        <w:t>3.2</w:t>
      </w:r>
      <w:r>
        <w:tab/>
      </w:r>
      <w:r w:rsidR="00F907CB" w:rsidRPr="00346D6F">
        <w:t>Evaluation</w:t>
      </w:r>
      <w:r w:rsidR="00F907CB">
        <w:t xml:space="preserve"> of submitted d</w:t>
      </w:r>
      <w:r w:rsidR="00415ABA" w:rsidRPr="00415ABA">
        <w:t>ata</w:t>
      </w:r>
      <w:bookmarkEnd w:id="28"/>
    </w:p>
    <w:p w14:paraId="6E0D8206" w14:textId="77777777" w:rsidR="00F4041F" w:rsidRDefault="00F4041F" w:rsidP="001713AF">
      <w:r>
        <w:t>The Applicant identified two</w:t>
      </w:r>
      <w:r w:rsidRPr="00F4041F">
        <w:t xml:space="preserve"> relevant studies </w:t>
      </w:r>
      <w:r>
        <w:t xml:space="preserve">published since the </w:t>
      </w:r>
      <w:r w:rsidR="00F714CE">
        <w:t>last</w:t>
      </w:r>
      <w:r>
        <w:t xml:space="preserve"> JECFA evaluation of Ace K.</w:t>
      </w:r>
      <w:r w:rsidR="00F714CE">
        <w:t xml:space="preserve"> </w:t>
      </w:r>
      <w:r w:rsidR="00CA53EA">
        <w:t xml:space="preserve">The </w:t>
      </w:r>
      <w:r w:rsidR="00F714CE">
        <w:t>studies</w:t>
      </w:r>
      <w:r w:rsidR="003356B7">
        <w:t>, which</w:t>
      </w:r>
      <w:r w:rsidR="00F714CE">
        <w:t xml:space="preserve"> were conducted </w:t>
      </w:r>
      <w:r w:rsidR="00CA53EA">
        <w:t xml:space="preserve">in </w:t>
      </w:r>
      <w:r w:rsidR="00CA53EA" w:rsidRPr="00CA53EA">
        <w:t xml:space="preserve">two genetically altered mouse strains </w:t>
      </w:r>
      <w:r w:rsidR="00F714CE">
        <w:t>by the US National Toxicology Program</w:t>
      </w:r>
      <w:r w:rsidR="003356B7">
        <w:t>,</w:t>
      </w:r>
      <w:r w:rsidR="00F714CE">
        <w:t xml:space="preserve"> were published in a single report (NTP 2005).</w:t>
      </w:r>
    </w:p>
    <w:p w14:paraId="6E0D8207" w14:textId="77777777" w:rsidR="00CA53EA" w:rsidRDefault="00CA53EA" w:rsidP="001713AF"/>
    <w:p w14:paraId="6E0D8208" w14:textId="77777777" w:rsidR="00CA53EA" w:rsidRDefault="00CA53EA" w:rsidP="001713AF">
      <w:r w:rsidRPr="00CA53EA">
        <w:t xml:space="preserve">Tg.AC hemizygous and p53 haploinsufficient mice were exposed to </w:t>
      </w:r>
      <w:r w:rsidR="003356B7">
        <w:t>Ace </w:t>
      </w:r>
      <w:r>
        <w:t>K</w:t>
      </w:r>
      <w:r w:rsidRPr="00CA53EA">
        <w:t xml:space="preserve"> (</w:t>
      </w:r>
      <w:r w:rsidR="003356B7">
        <w:t>purity at least</w:t>
      </w:r>
      <w:r w:rsidRPr="00CA53EA">
        <w:t xml:space="preserve"> 99%) in feed for 9 months. The two mouse strains have been genetically altered with either a loss of heterozygosity in a critical cancer gene (Trp53) or a gain of oncogene function (Ha-ras) to provide mouse models that are susceptible to the rapid development of cancer.</w:t>
      </w:r>
    </w:p>
    <w:p w14:paraId="6E0D8209" w14:textId="77777777" w:rsidR="00F714CE" w:rsidRDefault="00F714CE" w:rsidP="001713AF"/>
    <w:p w14:paraId="6E0D820A" w14:textId="77777777" w:rsidR="00F4041F" w:rsidRDefault="003356B7" w:rsidP="001713AF">
      <w:r>
        <w:t>G</w:t>
      </w:r>
      <w:r w:rsidR="00CA53EA" w:rsidRPr="00CA53EA">
        <w:t xml:space="preserve">roups of Tg.AC hemizygous mice </w:t>
      </w:r>
      <w:r w:rsidR="00CA53EA">
        <w:t xml:space="preserve">(n=15/sex/group) </w:t>
      </w:r>
      <w:r w:rsidR="00CA53EA" w:rsidRPr="00CA53EA">
        <w:t xml:space="preserve">were fed diets containing 0%, 0.3%, 1%, or 3% </w:t>
      </w:r>
      <w:r w:rsidR="00CA53EA">
        <w:t>Ace K</w:t>
      </w:r>
      <w:r w:rsidR="00CA53EA" w:rsidRPr="00CA53EA">
        <w:t xml:space="preserve"> (equivalent to average dail</w:t>
      </w:r>
      <w:r w:rsidR="00CA53EA">
        <w:t>y doses of approximately 420, 1400, or 4</w:t>
      </w:r>
      <w:r w:rsidR="00F51EC8">
        <w:t>500 mg</w:t>
      </w:r>
      <w:r w:rsidR="00CA53EA" w:rsidRPr="00CA53EA">
        <w:t xml:space="preserve">/kg </w:t>
      </w:r>
      <w:r w:rsidR="00CA53EA">
        <w:t>bw for males and 520, 1700, or 5</w:t>
      </w:r>
      <w:r w:rsidR="00CA53EA" w:rsidRPr="00CA53EA">
        <w:t xml:space="preserve">400 mg/kg </w:t>
      </w:r>
      <w:r w:rsidR="00CA53EA">
        <w:t xml:space="preserve">bw for </w:t>
      </w:r>
      <w:r w:rsidR="00CA53EA" w:rsidRPr="00CA53EA">
        <w:t xml:space="preserve">females) for 40 weeks. </w:t>
      </w:r>
      <w:r w:rsidR="00CA53EA">
        <w:t>Dietary e</w:t>
      </w:r>
      <w:r w:rsidR="00CA53EA" w:rsidRPr="00CA53EA">
        <w:t xml:space="preserve">xposure to </w:t>
      </w:r>
      <w:r w:rsidR="00CA53EA">
        <w:t>Ace K</w:t>
      </w:r>
      <w:r w:rsidR="00CA53EA" w:rsidRPr="00CA53EA">
        <w:t xml:space="preserve"> had no effect on survival or mean body weights. Feed consumption by the exposed groups was similar to that by the control groups throughout the study. There were no neoplasms or non</w:t>
      </w:r>
      <w:r w:rsidR="00CA53EA">
        <w:t>-</w:t>
      </w:r>
      <w:r w:rsidR="00CA53EA" w:rsidRPr="00CA53EA">
        <w:t xml:space="preserve">neoplastic lesions that were attributed to exposure to </w:t>
      </w:r>
      <w:r w:rsidR="00CA53EA">
        <w:t>Ace K</w:t>
      </w:r>
      <w:r w:rsidR="00CA53EA" w:rsidRPr="00CA53EA">
        <w:t>.</w:t>
      </w:r>
      <w:r w:rsidR="00F51EC8" w:rsidRPr="00F51EC8">
        <w:t xml:space="preserve"> </w:t>
      </w:r>
      <w:r w:rsidR="0087501D">
        <w:t>There were no</w:t>
      </w:r>
      <w:r w:rsidR="0087501D" w:rsidRPr="0087501D">
        <w:t xml:space="preserve"> st</w:t>
      </w:r>
      <w:r w:rsidR="0087501D">
        <w:t>atistically significant changes</w:t>
      </w:r>
      <w:r w:rsidR="0087501D" w:rsidRPr="0087501D">
        <w:t xml:space="preserve"> in the frequency of micronucleated erythrocytes </w:t>
      </w:r>
      <w:r w:rsidR="0087501D">
        <w:t>in any of the treated groups compared to controls.</w:t>
      </w:r>
    </w:p>
    <w:p w14:paraId="6E0D820B" w14:textId="77777777" w:rsidR="00CA53EA" w:rsidRDefault="00CA53EA" w:rsidP="001713AF"/>
    <w:p w14:paraId="6E0D820C" w14:textId="77777777" w:rsidR="00415ABA" w:rsidRDefault="003356B7" w:rsidP="0007630C">
      <w:r>
        <w:t>G</w:t>
      </w:r>
      <w:r w:rsidR="00CA53EA" w:rsidRPr="00CA53EA">
        <w:t xml:space="preserve">roups of p53 haploinsufficient mice </w:t>
      </w:r>
      <w:r w:rsidR="00F51EC8">
        <w:t>(</w:t>
      </w:r>
      <w:r w:rsidR="00F51EC8" w:rsidRPr="00F51EC8">
        <w:t xml:space="preserve">n=15/sex/group) </w:t>
      </w:r>
      <w:r w:rsidR="00CA53EA" w:rsidRPr="00CA53EA">
        <w:t xml:space="preserve">were fed diets containing 0%, 0.3%, 1%, or 3% </w:t>
      </w:r>
      <w:r w:rsidR="00F51EC8">
        <w:t>Ace K</w:t>
      </w:r>
      <w:r w:rsidR="00CA53EA" w:rsidRPr="00CA53EA">
        <w:t xml:space="preserve"> (equivalent to average dail</w:t>
      </w:r>
      <w:r w:rsidR="00F51EC8">
        <w:t>y doses of approximately 475, 1500, or 4700 </w:t>
      </w:r>
      <w:r w:rsidR="00CA53EA" w:rsidRPr="00CA53EA">
        <w:t xml:space="preserve">mg/kg </w:t>
      </w:r>
      <w:r w:rsidR="00F51EC8">
        <w:t>bw for males and 570, 1800, or 5</w:t>
      </w:r>
      <w:r w:rsidR="00CA53EA" w:rsidRPr="00CA53EA">
        <w:t xml:space="preserve">700 mg/kg </w:t>
      </w:r>
      <w:r w:rsidR="00F51EC8">
        <w:t xml:space="preserve">bw for </w:t>
      </w:r>
      <w:r w:rsidR="00CA53EA" w:rsidRPr="00CA53EA">
        <w:t xml:space="preserve">females) for 40 weeks. </w:t>
      </w:r>
      <w:r w:rsidR="00F51EC8">
        <w:t>Dietary e</w:t>
      </w:r>
      <w:r w:rsidR="00CA53EA" w:rsidRPr="00CA53EA">
        <w:t xml:space="preserve">xposure to </w:t>
      </w:r>
      <w:r w:rsidR="00F51EC8">
        <w:t>Ace K</w:t>
      </w:r>
      <w:r w:rsidR="00CA53EA" w:rsidRPr="00CA53EA">
        <w:t xml:space="preserve"> had no effect on survival or mean body weights. Feed consumption by the exposed groups was similar to that by the control groups throughout the study. There were no neoplasms or non</w:t>
      </w:r>
      <w:r w:rsidR="00F51EC8">
        <w:t>-</w:t>
      </w:r>
      <w:r w:rsidR="00CA53EA" w:rsidRPr="00CA53EA">
        <w:t xml:space="preserve">neoplastic lesions that were attributed to </w:t>
      </w:r>
      <w:r w:rsidR="002B5737">
        <w:t>exposure to Ace K</w:t>
      </w:r>
      <w:r w:rsidR="00CA53EA" w:rsidRPr="00CA53EA">
        <w:t>.</w:t>
      </w:r>
      <w:r w:rsidR="00F51EC8" w:rsidRPr="00F51EC8">
        <w:t xml:space="preserve"> There was a </w:t>
      </w:r>
      <w:r w:rsidR="00F51EC8">
        <w:t xml:space="preserve">statistically </w:t>
      </w:r>
      <w:r w:rsidR="00F51EC8" w:rsidRPr="00F51EC8">
        <w:t>significant increase in the frequency of micronucleated erythrocytes at the end of the exposure period in male</w:t>
      </w:r>
      <w:r>
        <w:t>s that received 1% or 3% Ace K (</w:t>
      </w:r>
      <w:r w:rsidRPr="003356B7">
        <w:rPr>
          <w:i/>
        </w:rPr>
        <w:t>p</w:t>
      </w:r>
      <w:r w:rsidR="004460A1">
        <w:t> = </w:t>
      </w:r>
      <w:r>
        <w:t xml:space="preserve">0.004 and 0.001, respectively); however </w:t>
      </w:r>
      <w:r w:rsidR="00F51EC8" w:rsidRPr="00F51EC8">
        <w:t>the magnitude of the in</w:t>
      </w:r>
      <w:r>
        <w:t>crease was only approximately 1 </w:t>
      </w:r>
      <w:r w:rsidR="00F51EC8" w:rsidRPr="00F51EC8">
        <w:t>micronuclei/1000 cells. Moreover, no increase was observed in females.</w:t>
      </w:r>
      <w:r>
        <w:t xml:space="preserve"> This observation is </w:t>
      </w:r>
      <w:r w:rsidR="002B5737">
        <w:t xml:space="preserve">therefore </w:t>
      </w:r>
      <w:r>
        <w:t>not considered to be toxicologically relevant.</w:t>
      </w:r>
      <w:r w:rsidR="005F53C4">
        <w:t xml:space="preserve"> </w:t>
      </w:r>
      <w:r w:rsidR="005F0475">
        <w:t>Furthermore, a</w:t>
      </w:r>
      <w:r w:rsidR="008331A0">
        <w:t xml:space="preserve"> micronucleus assay in mice orally administered Ace K, previously evaluated by </w:t>
      </w:r>
      <w:r w:rsidR="005F53C4">
        <w:t>JECFA</w:t>
      </w:r>
      <w:r w:rsidR="008331A0">
        <w:t>, was negative</w:t>
      </w:r>
      <w:r w:rsidR="005B11F5">
        <w:t xml:space="preserve"> </w:t>
      </w:r>
      <w:r w:rsidR="005F53C4">
        <w:t>(WHO 1981b).</w:t>
      </w:r>
    </w:p>
    <w:p w14:paraId="6E0D820D" w14:textId="77777777" w:rsidR="00415ABA" w:rsidRDefault="006001D5" w:rsidP="0087501D">
      <w:pPr>
        <w:pStyle w:val="Heading2"/>
      </w:pPr>
      <w:bookmarkStart w:id="29" w:name="_Toc427684468"/>
      <w:r>
        <w:lastRenderedPageBreak/>
        <w:t>3.3</w:t>
      </w:r>
      <w:r>
        <w:tab/>
      </w:r>
      <w:r w:rsidR="0001179E" w:rsidRPr="0087501D">
        <w:t>Additional</w:t>
      </w:r>
      <w:r w:rsidR="0001179E">
        <w:t xml:space="preserve"> published data</w:t>
      </w:r>
      <w:bookmarkEnd w:id="29"/>
    </w:p>
    <w:p w14:paraId="6E0D820E" w14:textId="77777777" w:rsidR="00F223EF" w:rsidRDefault="0001179E" w:rsidP="001713AF">
      <w:r>
        <w:t xml:space="preserve">FSANZ </w:t>
      </w:r>
      <w:r w:rsidR="003A0832">
        <w:t>did not locate any</w:t>
      </w:r>
      <w:r>
        <w:t xml:space="preserve"> </w:t>
      </w:r>
      <w:r w:rsidR="0087501D">
        <w:t>additional studies</w:t>
      </w:r>
      <w:r>
        <w:t xml:space="preserve"> </w:t>
      </w:r>
      <w:r w:rsidR="003A0832">
        <w:t>considered to be</w:t>
      </w:r>
      <w:r>
        <w:t xml:space="preserve"> relevant for the hazard assessment of Ace K</w:t>
      </w:r>
      <w:r w:rsidR="0087501D">
        <w:t>.</w:t>
      </w:r>
      <w:r w:rsidR="003A0832">
        <w:t xml:space="preserve"> </w:t>
      </w:r>
    </w:p>
    <w:p w14:paraId="6E0D820F" w14:textId="77777777" w:rsidR="0001179E" w:rsidRDefault="006001D5" w:rsidP="0087501D">
      <w:pPr>
        <w:pStyle w:val="Heading2"/>
      </w:pPr>
      <w:bookmarkStart w:id="30" w:name="_Toc427684469"/>
      <w:r>
        <w:t>3.4</w:t>
      </w:r>
      <w:r>
        <w:tab/>
      </w:r>
      <w:r w:rsidR="0001179E" w:rsidRPr="0001179E">
        <w:t>Hazard assessment conclusion</w:t>
      </w:r>
      <w:bookmarkEnd w:id="30"/>
    </w:p>
    <w:p w14:paraId="6E0D8210" w14:textId="77777777" w:rsidR="003A0832" w:rsidRDefault="0066374A" w:rsidP="003A0832">
      <w:pPr>
        <w:rPr>
          <w:lang w:bidi="ar-SA"/>
        </w:rPr>
      </w:pPr>
      <w:r>
        <w:rPr>
          <w:lang w:bidi="ar-SA"/>
        </w:rPr>
        <w:t xml:space="preserve">The results of studies in mice </w:t>
      </w:r>
      <w:r w:rsidRPr="0066374A">
        <w:rPr>
          <w:lang w:bidi="ar-SA"/>
        </w:rPr>
        <w:t xml:space="preserve">susceptible to the rapid development of cancer </w:t>
      </w:r>
      <w:r w:rsidR="009B0FDE">
        <w:rPr>
          <w:lang w:bidi="ar-SA"/>
        </w:rPr>
        <w:t xml:space="preserve">are consistent with previous animal studies showing that Ace K is </w:t>
      </w:r>
      <w:r w:rsidR="003A0832">
        <w:rPr>
          <w:lang w:bidi="ar-SA"/>
        </w:rPr>
        <w:t xml:space="preserve">well tolerated at high doses and does not show potential for carcinogenicity. </w:t>
      </w:r>
      <w:r w:rsidR="003942DE">
        <w:rPr>
          <w:lang w:bidi="ar-SA"/>
        </w:rPr>
        <w:t xml:space="preserve">No other studies were identified </w:t>
      </w:r>
      <w:r w:rsidR="004460A1">
        <w:rPr>
          <w:lang w:bidi="ar-SA"/>
        </w:rPr>
        <w:t xml:space="preserve">which </w:t>
      </w:r>
      <w:r w:rsidR="00504AD7">
        <w:rPr>
          <w:lang w:bidi="ar-SA"/>
        </w:rPr>
        <w:t xml:space="preserve">could potentially affect the </w:t>
      </w:r>
      <w:r w:rsidR="003A0832">
        <w:rPr>
          <w:lang w:bidi="ar-SA"/>
        </w:rPr>
        <w:t xml:space="preserve">ADI of </w:t>
      </w:r>
      <w:r w:rsidR="003A0832" w:rsidRPr="003A0832">
        <w:rPr>
          <w:lang w:bidi="ar-SA"/>
        </w:rPr>
        <w:t>0–15 mg/kg bw</w:t>
      </w:r>
      <w:r w:rsidR="00B72E52" w:rsidRPr="00B72E52">
        <w:t xml:space="preserve"> </w:t>
      </w:r>
      <w:r w:rsidR="00B72E52">
        <w:t>established</w:t>
      </w:r>
      <w:r w:rsidR="00B72E52" w:rsidRPr="00B72E52">
        <w:rPr>
          <w:lang w:bidi="ar-SA"/>
        </w:rPr>
        <w:t xml:space="preserve"> by JECFA</w:t>
      </w:r>
      <w:r w:rsidR="003942DE">
        <w:rPr>
          <w:lang w:bidi="ar-SA"/>
        </w:rPr>
        <w:t>.</w:t>
      </w:r>
    </w:p>
    <w:p w14:paraId="6E0D8211" w14:textId="77777777" w:rsidR="006001D5" w:rsidRPr="003A0832" w:rsidRDefault="006001D5" w:rsidP="003A0832">
      <w:pPr>
        <w:rPr>
          <w:lang w:bidi="ar-SA"/>
        </w:rPr>
      </w:pPr>
    </w:p>
    <w:p w14:paraId="6E0D8212" w14:textId="77777777" w:rsidR="00F223EF" w:rsidRPr="00486D31" w:rsidRDefault="006001D5" w:rsidP="001713AF">
      <w:pPr>
        <w:pStyle w:val="Heading1"/>
      </w:pPr>
      <w:bookmarkStart w:id="31" w:name="_Toc427684470"/>
      <w:r>
        <w:t>4</w:t>
      </w:r>
      <w:r>
        <w:tab/>
      </w:r>
      <w:r w:rsidR="00F223EF" w:rsidRPr="00482FD5">
        <w:t>D</w:t>
      </w:r>
      <w:r w:rsidRPr="00482FD5">
        <w:t>ietary</w:t>
      </w:r>
      <w:r w:rsidRPr="00486D31">
        <w:t xml:space="preserve"> exposure assessment</w:t>
      </w:r>
      <w:bookmarkEnd w:id="4"/>
      <w:bookmarkEnd w:id="5"/>
      <w:bookmarkEnd w:id="31"/>
    </w:p>
    <w:p w14:paraId="6E0D8213" w14:textId="77777777" w:rsidR="00F223EF" w:rsidRPr="00FE5121" w:rsidRDefault="006001D5" w:rsidP="001713AF">
      <w:pPr>
        <w:pStyle w:val="Heading2"/>
      </w:pPr>
      <w:bookmarkStart w:id="32" w:name="_Toc247509482"/>
      <w:bookmarkStart w:id="33" w:name="_Toc256582703"/>
      <w:bookmarkStart w:id="34" w:name="_Toc269201838"/>
      <w:bookmarkStart w:id="35" w:name="_Toc360028614"/>
      <w:bookmarkStart w:id="36" w:name="_Toc427684471"/>
      <w:bookmarkStart w:id="37" w:name="_Toc244577300"/>
      <w:bookmarkStart w:id="38" w:name="_Toc246221071"/>
      <w:bookmarkStart w:id="39" w:name="_Toc246407790"/>
      <w:r>
        <w:t>4.1</w:t>
      </w:r>
      <w:r>
        <w:tab/>
      </w:r>
      <w:r w:rsidR="00F223EF" w:rsidRPr="00FE5121">
        <w:t xml:space="preserve">Approach to </w:t>
      </w:r>
      <w:r w:rsidR="00F223EF">
        <w:t>estimat</w:t>
      </w:r>
      <w:r w:rsidR="00F223EF" w:rsidRPr="00FE5121">
        <w:t xml:space="preserve">ing dietary exposure to </w:t>
      </w:r>
      <w:bookmarkEnd w:id="32"/>
      <w:bookmarkEnd w:id="33"/>
      <w:bookmarkEnd w:id="34"/>
      <w:bookmarkEnd w:id="35"/>
      <w:r w:rsidR="00C27F2F">
        <w:t>Ace K</w:t>
      </w:r>
      <w:bookmarkEnd w:id="36"/>
    </w:p>
    <w:p w14:paraId="6E0D8214" w14:textId="77777777" w:rsidR="008A7F59" w:rsidRPr="00FE0034" w:rsidRDefault="008A7F59" w:rsidP="006E0E02">
      <w:pPr>
        <w:rPr>
          <w:rFonts w:cs="Arial"/>
        </w:rPr>
      </w:pPr>
      <w:r w:rsidRPr="00FE5121">
        <w:t>Dietary exposure assessments require data on</w:t>
      </w:r>
      <w:r>
        <w:t xml:space="preserve"> the</w:t>
      </w:r>
      <w:r w:rsidRPr="00FE5121">
        <w:t xml:space="preserve"> concentrations of the chemical of interest in the foods requested and consumption data for the foods that have been collected through a national nutrition survey.</w:t>
      </w:r>
      <w:r w:rsidR="00F07715" w:rsidRPr="00F07715">
        <w:t xml:space="preserve"> </w:t>
      </w:r>
    </w:p>
    <w:p w14:paraId="6E0D8215" w14:textId="77777777" w:rsidR="008A7F59" w:rsidRDefault="008A7F59" w:rsidP="0052394C">
      <w:pPr>
        <w:rPr>
          <w:lang w:eastAsia="en-AU" w:bidi="ar-SA"/>
        </w:rPr>
      </w:pPr>
    </w:p>
    <w:p w14:paraId="6E0D8216" w14:textId="77777777" w:rsidR="008424D4" w:rsidRDefault="00F07715" w:rsidP="006E0E02">
      <w:r w:rsidRPr="00FE5121">
        <w:t xml:space="preserve">The dietary exposure for </w:t>
      </w:r>
      <w:r w:rsidR="00C27F2F">
        <w:t>Ace K</w:t>
      </w:r>
      <w:r w:rsidRPr="00FE5121">
        <w:t xml:space="preserve"> </w:t>
      </w:r>
      <w:r w:rsidR="00F729F9">
        <w:t xml:space="preserve">for this Application </w:t>
      </w:r>
      <w:r w:rsidRPr="00FE5121">
        <w:t>was estimated using</w:t>
      </w:r>
      <w:r w:rsidR="008424D4">
        <w:t>:</w:t>
      </w:r>
      <w:r w:rsidRPr="00FE5121">
        <w:t xml:space="preserve"> </w:t>
      </w:r>
    </w:p>
    <w:p w14:paraId="6E0D8217" w14:textId="77777777" w:rsidR="006001D5" w:rsidRDefault="006001D5" w:rsidP="006E0E02"/>
    <w:p w14:paraId="6E0D8218" w14:textId="77777777" w:rsidR="008424D4" w:rsidRDefault="00F07715" w:rsidP="00D90F8F">
      <w:pPr>
        <w:pStyle w:val="FSBullet1"/>
      </w:pPr>
      <w:r w:rsidRPr="00FE5121">
        <w:t xml:space="preserve">the </w:t>
      </w:r>
      <w:r w:rsidR="0060561C">
        <w:t xml:space="preserve">existing </w:t>
      </w:r>
      <w:r>
        <w:t>MPL</w:t>
      </w:r>
      <w:r w:rsidR="00292539">
        <w:t xml:space="preserve"> </w:t>
      </w:r>
      <w:r w:rsidRPr="00FE5121">
        <w:t xml:space="preserve">for </w:t>
      </w:r>
      <w:r w:rsidR="00843077">
        <w:t>A</w:t>
      </w:r>
      <w:r w:rsidRPr="00F07715">
        <w:t>ce</w:t>
      </w:r>
      <w:r w:rsidR="00843077">
        <w:t> </w:t>
      </w:r>
      <w:r w:rsidR="00C27F2F">
        <w:t>K</w:t>
      </w:r>
      <w:r w:rsidRPr="00FE5121">
        <w:t xml:space="preserve"> </w:t>
      </w:r>
      <w:r w:rsidR="0060561C">
        <w:t>in</w:t>
      </w:r>
      <w:r>
        <w:t xml:space="preserve"> </w:t>
      </w:r>
      <w:r w:rsidRPr="00494840">
        <w:t>intensely sweetened chewing gums</w:t>
      </w:r>
      <w:r w:rsidRPr="00FE5121">
        <w:t xml:space="preserve"> and the </w:t>
      </w:r>
      <w:r w:rsidR="0060561C">
        <w:t>increased MPL</w:t>
      </w:r>
      <w:r w:rsidR="0060561C" w:rsidRPr="00FE5121">
        <w:t xml:space="preserve"> </w:t>
      </w:r>
      <w:r w:rsidRPr="00FE5121">
        <w:t>requested in this Application</w:t>
      </w:r>
      <w:r>
        <w:t>;</w:t>
      </w:r>
      <w:r w:rsidRPr="00FE5121">
        <w:t xml:space="preserve"> and </w:t>
      </w:r>
    </w:p>
    <w:p w14:paraId="6E0D8219" w14:textId="77777777" w:rsidR="00F729F9" w:rsidRDefault="00F07715" w:rsidP="00D90F8F">
      <w:pPr>
        <w:pStyle w:val="FSBullet1"/>
      </w:pPr>
      <w:r w:rsidRPr="00FE5121">
        <w:t xml:space="preserve">food consumption data from the available Australian and New </w:t>
      </w:r>
      <w:r w:rsidRPr="00814453">
        <w:t>Zealand national nutrition surveys</w:t>
      </w:r>
    </w:p>
    <w:p w14:paraId="6E0D821A" w14:textId="77777777" w:rsidR="006E0E02" w:rsidRDefault="0060561C" w:rsidP="00D90F8F">
      <w:pPr>
        <w:pStyle w:val="FSBullet1"/>
      </w:pPr>
      <w:r>
        <w:t>the</w:t>
      </w:r>
      <w:r w:rsidR="00F729F9">
        <w:t xml:space="preserve"> previously conducted </w:t>
      </w:r>
      <w:r w:rsidR="00BC7F7A">
        <w:t xml:space="preserve">survey of </w:t>
      </w:r>
      <w:r w:rsidR="00F729F9">
        <w:t>intense sweetener</w:t>
      </w:r>
      <w:r w:rsidR="00BC7F7A">
        <w:t>s</w:t>
      </w:r>
      <w:r w:rsidR="00F729F9">
        <w:t xml:space="preserve"> by FSANZ</w:t>
      </w:r>
      <w:r w:rsidR="00A323E9">
        <w:t xml:space="preserve"> </w:t>
      </w:r>
      <w:r w:rsidR="001C7DDD">
        <w:t>(</w:t>
      </w:r>
      <w:r w:rsidR="00454CD9" w:rsidRPr="005B4104">
        <w:t>FSANZ 2004</w:t>
      </w:r>
      <w:r w:rsidR="00454CD9">
        <w:rPr>
          <w:noProof/>
        </w:rPr>
        <w:t>)</w:t>
      </w:r>
      <w:r w:rsidR="00C95474">
        <w:rPr>
          <w:noProof/>
        </w:rPr>
        <w:t>.</w:t>
      </w:r>
    </w:p>
    <w:p w14:paraId="6E0D821B" w14:textId="77777777" w:rsidR="00F223EF" w:rsidRPr="00B24DC9" w:rsidRDefault="006001D5" w:rsidP="002A1327">
      <w:pPr>
        <w:pStyle w:val="Heading3"/>
      </w:pPr>
      <w:bookmarkStart w:id="40" w:name="_Toc360028617"/>
      <w:bookmarkStart w:id="41" w:name="_Toc427684472"/>
      <w:r>
        <w:t>4.1.1</w:t>
      </w:r>
      <w:r>
        <w:tab/>
      </w:r>
      <w:r w:rsidR="00B60085">
        <w:t xml:space="preserve">Previous estimates of dietary </w:t>
      </w:r>
      <w:r w:rsidR="00F223EF" w:rsidRPr="00B24DC9">
        <w:t xml:space="preserve">exposure to </w:t>
      </w:r>
      <w:bookmarkEnd w:id="40"/>
      <w:r w:rsidR="00C27F2F">
        <w:t>Ace K</w:t>
      </w:r>
      <w:bookmarkEnd w:id="41"/>
    </w:p>
    <w:p w14:paraId="6E0D821C" w14:textId="77777777" w:rsidR="006E0E02" w:rsidRPr="00AF6648" w:rsidRDefault="00675B84" w:rsidP="006E0E02">
      <w:r>
        <w:rPr>
          <w:rFonts w:cs="Arial"/>
        </w:rPr>
        <w:t>E</w:t>
      </w:r>
      <w:r w:rsidR="0060561C">
        <w:rPr>
          <w:rFonts w:cs="Arial"/>
        </w:rPr>
        <w:t xml:space="preserve">stimated </w:t>
      </w:r>
      <w:r w:rsidR="0031334C">
        <w:rPr>
          <w:rFonts w:cs="Arial"/>
        </w:rPr>
        <w:t xml:space="preserve">dietary exposure to </w:t>
      </w:r>
      <w:r w:rsidR="00C27F2F">
        <w:t>Ace K</w:t>
      </w:r>
      <w:r w:rsidR="0060561C">
        <w:t xml:space="preserve"> for both the Australian and New Zealand populations</w:t>
      </w:r>
      <w:r w:rsidR="001871C0">
        <w:t xml:space="preserve"> aged 12 years and above</w:t>
      </w:r>
      <w:r w:rsidR="006E0E02" w:rsidRPr="00AF6648">
        <w:rPr>
          <w:rFonts w:cs="Arial"/>
        </w:rPr>
        <w:t xml:space="preserve"> </w:t>
      </w:r>
      <w:r w:rsidR="006E0E02" w:rsidRPr="00AF6648">
        <w:t xml:space="preserve">has been </w:t>
      </w:r>
      <w:r>
        <w:t xml:space="preserve">previously </w:t>
      </w:r>
      <w:r w:rsidR="006E0E02" w:rsidRPr="00AF6648">
        <w:t>assessed as part o</w:t>
      </w:r>
      <w:r w:rsidR="000A02A5">
        <w:t>f sweetener surveys in both 1995</w:t>
      </w:r>
      <w:r w:rsidR="006E0E02" w:rsidRPr="00AF6648">
        <w:t xml:space="preserve"> and 2004</w:t>
      </w:r>
      <w:r w:rsidR="00BC7F7A">
        <w:t xml:space="preserve"> [</w:t>
      </w:r>
      <w:r w:rsidR="00454CD9" w:rsidRPr="005B4104">
        <w:rPr>
          <w:rFonts w:cs="Arial"/>
          <w:noProof/>
        </w:rPr>
        <w:t>National Food Authority</w:t>
      </w:r>
      <w:r w:rsidR="0060561C" w:rsidRPr="0060561C">
        <w:t xml:space="preserve"> </w:t>
      </w:r>
      <w:r w:rsidR="00BC7F7A">
        <w:t>(</w:t>
      </w:r>
      <w:r w:rsidR="00454CD9" w:rsidRPr="005B4104">
        <w:rPr>
          <w:rFonts w:cs="Arial"/>
          <w:noProof/>
        </w:rPr>
        <w:t>1995</w:t>
      </w:r>
      <w:r w:rsidR="00BC7F7A">
        <w:rPr>
          <w:rFonts w:cs="Arial"/>
          <w:noProof/>
        </w:rPr>
        <w:t>)</w:t>
      </w:r>
      <w:r w:rsidR="0060561C" w:rsidRPr="0060561C">
        <w:t xml:space="preserve"> </w:t>
      </w:r>
      <w:r w:rsidR="0060561C" w:rsidRPr="005B4104">
        <w:t>and</w:t>
      </w:r>
      <w:r w:rsidR="0060561C" w:rsidRPr="0060561C">
        <w:t xml:space="preserve"> </w:t>
      </w:r>
      <w:r w:rsidR="0060561C" w:rsidRPr="005B4104">
        <w:t xml:space="preserve">FSANZ </w:t>
      </w:r>
      <w:r w:rsidR="00BC7F7A">
        <w:t>(</w:t>
      </w:r>
      <w:r w:rsidR="0060561C" w:rsidRPr="005B4104">
        <w:t>2004</w:t>
      </w:r>
      <w:r w:rsidR="00BC7F7A">
        <w:t>)</w:t>
      </w:r>
      <w:r w:rsidR="0060561C">
        <w:t>, respectively</w:t>
      </w:r>
      <w:r w:rsidR="00BC7F7A">
        <w:t>]</w:t>
      </w:r>
      <w:r w:rsidR="006E0E02" w:rsidRPr="00AF6648">
        <w:t xml:space="preserve">. </w:t>
      </w:r>
      <w:r w:rsidR="0031334C">
        <w:rPr>
          <w:rFonts w:cs="Arial"/>
        </w:rPr>
        <w:t>The sweetener surveys consisted of a 7</w:t>
      </w:r>
      <w:r>
        <w:rPr>
          <w:rFonts w:cs="Arial"/>
        </w:rPr>
        <w:t>-</w:t>
      </w:r>
      <w:r w:rsidR="0031334C">
        <w:rPr>
          <w:rFonts w:cs="Arial"/>
        </w:rPr>
        <w:t>day food diary of intensely sweetened foods by brand and flavour from a population of high consumers of intensely sweetened foods</w:t>
      </w:r>
      <w:r w:rsidR="0060561C">
        <w:rPr>
          <w:rFonts w:cs="Arial"/>
        </w:rPr>
        <w:t>,</w:t>
      </w:r>
      <w:r w:rsidR="0031334C">
        <w:rPr>
          <w:rFonts w:cs="Arial"/>
        </w:rPr>
        <w:t xml:space="preserve"> as identified by a screener survey.</w:t>
      </w:r>
      <w:r w:rsidR="00AF51BE" w:rsidRPr="00AF51BE">
        <w:rPr>
          <w:rFonts w:cs="Arial"/>
        </w:rPr>
        <w:t xml:space="preserve"> </w:t>
      </w:r>
      <w:r w:rsidR="00AF51BE">
        <w:rPr>
          <w:rFonts w:cs="Arial"/>
        </w:rPr>
        <w:t>Food product groups containing intense sweeteners in</w:t>
      </w:r>
      <w:r w:rsidR="0060561C">
        <w:rPr>
          <w:rFonts w:cs="Arial"/>
        </w:rPr>
        <w:t>cluded in</w:t>
      </w:r>
      <w:r w:rsidR="00AF51BE">
        <w:rPr>
          <w:rFonts w:cs="Arial"/>
        </w:rPr>
        <w:t xml:space="preserve"> the survey</w:t>
      </w:r>
      <w:r w:rsidR="0060561C">
        <w:rPr>
          <w:rFonts w:cs="Arial"/>
        </w:rPr>
        <w:t>s</w:t>
      </w:r>
      <w:r w:rsidR="00AF51BE">
        <w:rPr>
          <w:rFonts w:cs="Arial"/>
        </w:rPr>
        <w:t xml:space="preserve"> were carbonated soft drink, cordials, fruit drinks, table-top sweeteners, confectioneries (including chewing gum, lollies, chocolate etc), flavoured yoghurts and mousses, jellies and milk based puddings, jams or conserves, flavoured milks, canned fruits, toppings and ice creams.</w:t>
      </w:r>
      <w:r w:rsidR="00B80510">
        <w:rPr>
          <w:rFonts w:cs="Arial"/>
        </w:rPr>
        <w:t xml:space="preserve"> Detailed data on the types and concentrations of intense sweeteners used in intensely sweetened food products were provided by industry to allow a refined dietary exposure assessment to be undertaken</w:t>
      </w:r>
      <w:r w:rsidR="005034D7">
        <w:rPr>
          <w:rFonts w:cs="Arial"/>
        </w:rPr>
        <w:t xml:space="preserve">, which is considered to be the best </w:t>
      </w:r>
      <w:r w:rsidR="00CB183D">
        <w:rPr>
          <w:rFonts w:cs="Arial"/>
        </w:rPr>
        <w:t xml:space="preserve">baseline </w:t>
      </w:r>
      <w:r w:rsidR="005034D7">
        <w:rPr>
          <w:rFonts w:cs="Arial"/>
        </w:rPr>
        <w:t>estimate available for Ace K</w:t>
      </w:r>
      <w:r w:rsidR="00B80510">
        <w:rPr>
          <w:rFonts w:cs="Arial"/>
        </w:rPr>
        <w:t>.</w:t>
      </w:r>
    </w:p>
    <w:p w14:paraId="6E0D821D" w14:textId="77777777" w:rsidR="006E0E02" w:rsidRDefault="006E0E02" w:rsidP="006E0E02">
      <w:pPr>
        <w:rPr>
          <w:rFonts w:cs="Arial"/>
        </w:rPr>
      </w:pPr>
    </w:p>
    <w:p w14:paraId="6E0D821E" w14:textId="77777777" w:rsidR="00675B84" w:rsidRDefault="006E0E02" w:rsidP="006E0E02">
      <w:pPr>
        <w:rPr>
          <w:rStyle w:val="Hyperlink"/>
          <w:rFonts w:cs="Arial"/>
        </w:rPr>
      </w:pPr>
      <w:r>
        <w:rPr>
          <w:rFonts w:cs="Arial"/>
        </w:rPr>
        <w:t>The 2004 sweetener survey</w:t>
      </w:r>
      <w:r w:rsidR="00AD3211">
        <w:rPr>
          <w:rFonts w:cs="Arial"/>
        </w:rPr>
        <w:t xml:space="preserve"> </w:t>
      </w:r>
      <w:r>
        <w:rPr>
          <w:rFonts w:cs="Arial"/>
        </w:rPr>
        <w:t>concluded that the mean and 90</w:t>
      </w:r>
      <w:r w:rsidRPr="00E62FDE">
        <w:rPr>
          <w:rFonts w:cs="Arial"/>
          <w:vertAlign w:val="superscript"/>
        </w:rPr>
        <w:t>th</w:t>
      </w:r>
      <w:r>
        <w:rPr>
          <w:rFonts w:cs="Arial"/>
        </w:rPr>
        <w:t xml:space="preserve"> percentile dietary exposure to </w:t>
      </w:r>
      <w:r w:rsidR="00C27F2F">
        <w:rPr>
          <w:rFonts w:cs="Arial"/>
        </w:rPr>
        <w:t>Ace K</w:t>
      </w:r>
      <w:r w:rsidRPr="001C7DDD">
        <w:rPr>
          <w:rFonts w:cs="Arial"/>
        </w:rPr>
        <w:t xml:space="preserve"> </w:t>
      </w:r>
      <w:r w:rsidR="00EB7A00" w:rsidRPr="001C7DDD">
        <w:rPr>
          <w:rFonts w:cs="Arial"/>
        </w:rPr>
        <w:t xml:space="preserve">for </w:t>
      </w:r>
      <w:r w:rsidR="00EB7A00">
        <w:rPr>
          <w:rFonts w:cs="Arial"/>
        </w:rPr>
        <w:t>Australian and New Zealand</w:t>
      </w:r>
      <w:r w:rsidR="00EB7A00" w:rsidRPr="001C7DDD">
        <w:rPr>
          <w:rFonts w:cs="Arial"/>
        </w:rPr>
        <w:t xml:space="preserve"> population</w:t>
      </w:r>
      <w:r w:rsidR="00EB7A00">
        <w:rPr>
          <w:rFonts w:cs="Arial"/>
        </w:rPr>
        <w:t>s aged 12 years and above,</w:t>
      </w:r>
      <w:r w:rsidR="00EB7A00" w:rsidRPr="001C7DDD">
        <w:rPr>
          <w:rFonts w:cs="Arial"/>
        </w:rPr>
        <w:t xml:space="preserve"> </w:t>
      </w:r>
      <w:r w:rsidR="0031334C" w:rsidRPr="001C7DDD">
        <w:rPr>
          <w:rFonts w:cs="Arial"/>
        </w:rPr>
        <w:t xml:space="preserve">from the range of all possible foods containing the sweetener </w:t>
      </w:r>
      <w:r w:rsidRPr="001C7DDD">
        <w:rPr>
          <w:rFonts w:cs="Arial"/>
        </w:rPr>
        <w:t>to be 3% and 6% of the ADI</w:t>
      </w:r>
      <w:r w:rsidR="00325449">
        <w:rPr>
          <w:rFonts w:cs="Arial"/>
        </w:rPr>
        <w:t xml:space="preserve"> (0</w:t>
      </w:r>
      <w:r w:rsidR="00675B84">
        <w:rPr>
          <w:rFonts w:cs="Arial"/>
        </w:rPr>
        <w:t>–</w:t>
      </w:r>
      <w:r w:rsidR="00325449">
        <w:rPr>
          <w:rFonts w:cs="Arial"/>
        </w:rPr>
        <w:t>15 mg/kg bw)</w:t>
      </w:r>
      <w:r w:rsidR="0060561C">
        <w:rPr>
          <w:rFonts w:cs="Arial"/>
        </w:rPr>
        <w:t>, respectively</w:t>
      </w:r>
      <w:r w:rsidRPr="001C7DDD">
        <w:rPr>
          <w:rFonts w:cs="Arial"/>
        </w:rPr>
        <w:t xml:space="preserve">. </w:t>
      </w:r>
      <w:r w:rsidR="00AF51BE" w:rsidRPr="001C7DDD">
        <w:rPr>
          <w:rFonts w:cs="Arial"/>
        </w:rPr>
        <w:t xml:space="preserve">(See </w:t>
      </w:r>
      <w:r w:rsidR="001450A2">
        <w:rPr>
          <w:rFonts w:cs="Arial"/>
        </w:rPr>
        <w:t>Table A2.</w:t>
      </w:r>
      <w:r w:rsidR="005034D7">
        <w:rPr>
          <w:rFonts w:cs="Arial"/>
        </w:rPr>
        <w:t>1</w:t>
      </w:r>
      <w:r w:rsidR="005034D7" w:rsidRPr="001C7DDD">
        <w:rPr>
          <w:rFonts w:cs="Arial"/>
        </w:rPr>
        <w:t xml:space="preserve"> </w:t>
      </w:r>
      <w:r w:rsidR="00AF51BE" w:rsidRPr="001C7DDD">
        <w:rPr>
          <w:rFonts w:cs="Arial"/>
        </w:rPr>
        <w:t xml:space="preserve">in </w:t>
      </w:r>
      <w:r w:rsidR="00AF51BE" w:rsidRPr="001C7DDD">
        <w:rPr>
          <w:rFonts w:cs="Arial"/>
        </w:rPr>
        <w:fldChar w:fldCharType="begin"/>
      </w:r>
      <w:r w:rsidR="00AF51BE" w:rsidRPr="001C7DDD">
        <w:rPr>
          <w:rFonts w:cs="Arial"/>
        </w:rPr>
        <w:instrText xml:space="preserve"> REF _Ref406572148 \h </w:instrText>
      </w:r>
      <w:r w:rsidR="001C7DDD" w:rsidRPr="001C7DDD">
        <w:rPr>
          <w:rFonts w:cs="Arial"/>
        </w:rPr>
        <w:instrText xml:space="preserve"> \* MERGEFORMAT </w:instrText>
      </w:r>
      <w:r w:rsidR="00AF51BE" w:rsidRPr="001C7DDD">
        <w:rPr>
          <w:rFonts w:cs="Arial"/>
        </w:rPr>
      </w:r>
      <w:r w:rsidR="00AF51BE" w:rsidRPr="001C7DDD">
        <w:rPr>
          <w:rFonts w:cs="Arial"/>
        </w:rPr>
        <w:fldChar w:fldCharType="separate"/>
      </w:r>
      <w:r w:rsidR="00B514D9">
        <w:t xml:space="preserve">Appendix </w:t>
      </w:r>
      <w:r w:rsidR="00B514D9">
        <w:rPr>
          <w:noProof/>
        </w:rPr>
        <w:t>2</w:t>
      </w:r>
      <w:r w:rsidR="00AF51BE" w:rsidRPr="001C7DDD">
        <w:rPr>
          <w:rFonts w:cs="Arial"/>
        </w:rPr>
        <w:fldChar w:fldCharType="end"/>
      </w:r>
      <w:r w:rsidR="00AF51BE" w:rsidRPr="001C7DDD">
        <w:rPr>
          <w:rFonts w:cs="Arial"/>
        </w:rPr>
        <w:t xml:space="preserve"> for Australia and New Zealand). </w:t>
      </w:r>
      <w:r w:rsidRPr="001C7DDD">
        <w:rPr>
          <w:rFonts w:cs="Arial"/>
        </w:rPr>
        <w:t>Th</w:t>
      </w:r>
      <w:r w:rsidR="00AF51BE" w:rsidRPr="001C7DDD">
        <w:rPr>
          <w:rFonts w:cs="Arial"/>
        </w:rPr>
        <w:t>e</w:t>
      </w:r>
      <w:r w:rsidRPr="001C7DDD">
        <w:rPr>
          <w:rFonts w:cs="Arial"/>
        </w:rPr>
        <w:t xml:space="preserve"> 2004 sweetener survey indicated a small increase in </w:t>
      </w:r>
      <w:r w:rsidR="00D7490E">
        <w:rPr>
          <w:rFonts w:cs="Arial"/>
        </w:rPr>
        <w:t xml:space="preserve">estimated </w:t>
      </w:r>
      <w:r w:rsidRPr="001C7DDD">
        <w:rPr>
          <w:rFonts w:cs="Arial"/>
        </w:rPr>
        <w:t xml:space="preserve">dietary exposure to </w:t>
      </w:r>
      <w:r w:rsidR="00C27F2F">
        <w:rPr>
          <w:rFonts w:cs="Arial"/>
        </w:rPr>
        <w:t>Ace K</w:t>
      </w:r>
      <w:r w:rsidR="000A02A5">
        <w:rPr>
          <w:rFonts w:cs="Arial"/>
        </w:rPr>
        <w:t xml:space="preserve"> in comparison to the 1995</w:t>
      </w:r>
      <w:r w:rsidRPr="001C7DDD">
        <w:rPr>
          <w:rFonts w:cs="Arial"/>
        </w:rPr>
        <w:t xml:space="preserve"> sweetener survey </w:t>
      </w:r>
      <w:r w:rsidR="00130859">
        <w:rPr>
          <w:rFonts w:cs="Arial"/>
        </w:rPr>
        <w:t xml:space="preserve">which concluded that estimated dietary exposure to Ace K was </w:t>
      </w:r>
      <w:r w:rsidRPr="001C7DDD">
        <w:rPr>
          <w:rFonts w:cs="Arial"/>
        </w:rPr>
        <w:t xml:space="preserve">1% </w:t>
      </w:r>
      <w:r w:rsidR="00824840">
        <w:rPr>
          <w:rFonts w:cs="Arial"/>
        </w:rPr>
        <w:t xml:space="preserve">of the </w:t>
      </w:r>
      <w:r w:rsidRPr="001C7DDD">
        <w:rPr>
          <w:rFonts w:cs="Arial"/>
        </w:rPr>
        <w:t xml:space="preserve">ADI </w:t>
      </w:r>
      <w:r w:rsidR="00824840">
        <w:rPr>
          <w:rFonts w:cs="Arial"/>
        </w:rPr>
        <w:t xml:space="preserve">at the </w:t>
      </w:r>
      <w:r w:rsidRPr="001C7DDD">
        <w:rPr>
          <w:rFonts w:cs="Arial"/>
        </w:rPr>
        <w:t>mean</w:t>
      </w:r>
      <w:r w:rsidR="00130859">
        <w:rPr>
          <w:rFonts w:cs="Arial"/>
        </w:rPr>
        <w:t xml:space="preserve"> and </w:t>
      </w:r>
      <w:r w:rsidRPr="001C7DDD">
        <w:rPr>
          <w:rFonts w:cs="Arial"/>
        </w:rPr>
        <w:t xml:space="preserve">3% </w:t>
      </w:r>
      <w:r w:rsidR="00824840">
        <w:rPr>
          <w:rFonts w:cs="Arial"/>
        </w:rPr>
        <w:t xml:space="preserve">of the </w:t>
      </w:r>
      <w:r w:rsidRPr="001C7DDD">
        <w:rPr>
          <w:rFonts w:cs="Arial"/>
        </w:rPr>
        <w:t xml:space="preserve">ADI </w:t>
      </w:r>
      <w:r w:rsidR="00824840">
        <w:rPr>
          <w:rFonts w:cs="Arial"/>
        </w:rPr>
        <w:t xml:space="preserve">at the </w:t>
      </w:r>
      <w:r w:rsidRPr="001C7DDD">
        <w:rPr>
          <w:rFonts w:cs="Arial"/>
        </w:rPr>
        <w:t>90</w:t>
      </w:r>
      <w:r w:rsidRPr="00824840">
        <w:rPr>
          <w:rFonts w:cs="Arial"/>
          <w:vertAlign w:val="superscript"/>
        </w:rPr>
        <w:t>th</w:t>
      </w:r>
      <w:r w:rsidR="00824840">
        <w:rPr>
          <w:rFonts w:cs="Arial"/>
        </w:rPr>
        <w:t xml:space="preserve"> percentile</w:t>
      </w:r>
      <w:r w:rsidRPr="001C7DDD">
        <w:rPr>
          <w:rFonts w:cs="Arial"/>
        </w:rPr>
        <w:t xml:space="preserve">. Further details of </w:t>
      </w:r>
      <w:r w:rsidR="00EF3CCF">
        <w:rPr>
          <w:rFonts w:cs="Arial"/>
        </w:rPr>
        <w:t xml:space="preserve">the </w:t>
      </w:r>
      <w:r w:rsidRPr="001C7DDD">
        <w:rPr>
          <w:rFonts w:cs="Arial"/>
        </w:rPr>
        <w:t xml:space="preserve">2004 sweetener survey report </w:t>
      </w:r>
      <w:r w:rsidR="00B60085">
        <w:rPr>
          <w:rFonts w:cs="Arial"/>
        </w:rPr>
        <w:t>are</w:t>
      </w:r>
      <w:r w:rsidR="00B60085" w:rsidRPr="001C7DDD">
        <w:rPr>
          <w:rFonts w:cs="Arial"/>
        </w:rPr>
        <w:t xml:space="preserve"> </w:t>
      </w:r>
      <w:r w:rsidR="00824840">
        <w:rPr>
          <w:rFonts w:cs="Arial"/>
        </w:rPr>
        <w:t>available at</w:t>
      </w:r>
      <w:r>
        <w:rPr>
          <w:rFonts w:cs="Arial"/>
        </w:rPr>
        <w:t xml:space="preserve"> </w:t>
      </w:r>
      <w:hyperlink r:id="rId20" w:history="1">
        <w:r w:rsidRPr="00D44359">
          <w:rPr>
            <w:rStyle w:val="Hyperlink"/>
            <w:rFonts w:cs="Arial"/>
          </w:rPr>
          <w:t>http://www.foodstandards.gov.au/publications/Pages/evaluationreportseries/intensesweetenerssurveymarch2004/Default.aspx</w:t>
        </w:r>
      </w:hyperlink>
      <w:r w:rsidR="00AF51BE">
        <w:rPr>
          <w:rStyle w:val="Hyperlink"/>
          <w:rFonts w:cs="Arial"/>
        </w:rPr>
        <w:t>.</w:t>
      </w:r>
      <w:r w:rsidR="00675B84">
        <w:rPr>
          <w:rStyle w:val="Hyperlink"/>
          <w:rFonts w:cs="Arial"/>
        </w:rPr>
        <w:br w:type="page"/>
      </w:r>
    </w:p>
    <w:p w14:paraId="6E0D821F" w14:textId="77777777" w:rsidR="006E0E02" w:rsidRDefault="0031334C" w:rsidP="006E0E02">
      <w:r>
        <w:rPr>
          <w:rFonts w:cs="Arial"/>
        </w:rPr>
        <w:lastRenderedPageBreak/>
        <w:t xml:space="preserve">Following </w:t>
      </w:r>
      <w:r w:rsidR="006E0E02">
        <w:rPr>
          <w:rFonts w:cs="Arial"/>
        </w:rPr>
        <w:t xml:space="preserve">these assessments, there has been no change to the </w:t>
      </w:r>
      <w:r w:rsidR="00C27F2F">
        <w:rPr>
          <w:rFonts w:cs="Arial"/>
        </w:rPr>
        <w:t>Ace K</w:t>
      </w:r>
      <w:r w:rsidR="006E0E02">
        <w:rPr>
          <w:rFonts w:cs="Arial"/>
        </w:rPr>
        <w:t xml:space="preserve"> permissions in the </w:t>
      </w:r>
      <w:r>
        <w:rPr>
          <w:rFonts w:cs="Arial"/>
        </w:rPr>
        <w:t>C</w:t>
      </w:r>
      <w:r w:rsidR="006E0E02">
        <w:rPr>
          <w:rFonts w:cs="Arial"/>
        </w:rPr>
        <w:t xml:space="preserve">ode, while </w:t>
      </w:r>
      <w:r w:rsidR="00B60085">
        <w:rPr>
          <w:rFonts w:cs="Arial"/>
        </w:rPr>
        <w:t xml:space="preserve">permissions for </w:t>
      </w:r>
      <w:r w:rsidR="006E0E02">
        <w:rPr>
          <w:rFonts w:cs="Arial"/>
        </w:rPr>
        <w:t xml:space="preserve">new sweeteners </w:t>
      </w:r>
      <w:r w:rsidR="00B60085">
        <w:rPr>
          <w:rFonts w:cs="Arial"/>
        </w:rPr>
        <w:t xml:space="preserve">have been </w:t>
      </w:r>
      <w:r w:rsidR="006E0E02">
        <w:rPr>
          <w:rFonts w:cs="Arial"/>
        </w:rPr>
        <w:t xml:space="preserve">included </w:t>
      </w:r>
      <w:r>
        <w:rPr>
          <w:rFonts w:cs="Arial"/>
        </w:rPr>
        <w:t>(</w:t>
      </w:r>
      <w:r w:rsidRPr="00C946D1">
        <w:rPr>
          <w:rFonts w:cs="Arial"/>
        </w:rPr>
        <w:t xml:space="preserve">e.g. </w:t>
      </w:r>
      <w:r w:rsidR="00824840" w:rsidRPr="00C946D1">
        <w:rPr>
          <w:rFonts w:cs="Arial"/>
        </w:rPr>
        <w:t>neotame</w:t>
      </w:r>
      <w:r w:rsidR="00824840">
        <w:rPr>
          <w:rFonts w:cs="Arial"/>
        </w:rPr>
        <w:t>,</w:t>
      </w:r>
      <w:r w:rsidR="00824840" w:rsidRPr="00C946D1">
        <w:rPr>
          <w:rFonts w:cs="Arial"/>
        </w:rPr>
        <w:t xml:space="preserve"> </w:t>
      </w:r>
      <w:r w:rsidR="00C946D1" w:rsidRPr="00C946D1">
        <w:rPr>
          <w:rFonts w:cs="Arial"/>
        </w:rPr>
        <w:t>steviol </w:t>
      </w:r>
      <w:r w:rsidR="001C7DDD" w:rsidRPr="00C946D1">
        <w:rPr>
          <w:rFonts w:cs="Arial"/>
        </w:rPr>
        <w:t>glycosides,</w:t>
      </w:r>
      <w:r w:rsidR="00B91232" w:rsidRPr="00C946D1">
        <w:rPr>
          <w:rFonts w:cs="Arial"/>
        </w:rPr>
        <w:t xml:space="preserve"> </w:t>
      </w:r>
      <w:r w:rsidR="009C68C7" w:rsidRPr="00C946D1">
        <w:rPr>
          <w:rFonts w:cs="Arial"/>
        </w:rPr>
        <w:t>advantame</w:t>
      </w:r>
      <w:r>
        <w:rPr>
          <w:rFonts w:cs="Arial"/>
        </w:rPr>
        <w:t>)</w:t>
      </w:r>
      <w:r w:rsidR="006E0E02">
        <w:rPr>
          <w:rFonts w:cs="Arial"/>
        </w:rPr>
        <w:t xml:space="preserve">. </w:t>
      </w:r>
      <w:r w:rsidR="006E0E02" w:rsidRPr="009934EA">
        <w:rPr>
          <w:rFonts w:cs="Arial"/>
        </w:rPr>
        <w:t xml:space="preserve">The </w:t>
      </w:r>
      <w:r w:rsidRPr="009934EA">
        <w:rPr>
          <w:rFonts w:cs="Arial"/>
        </w:rPr>
        <w:t xml:space="preserve">food </w:t>
      </w:r>
      <w:r w:rsidR="006E0E02" w:rsidRPr="009934EA">
        <w:rPr>
          <w:rFonts w:cs="Arial"/>
        </w:rPr>
        <w:t xml:space="preserve">industry use of </w:t>
      </w:r>
      <w:r w:rsidR="00C27F2F" w:rsidRPr="009934EA">
        <w:rPr>
          <w:rFonts w:cs="Arial"/>
        </w:rPr>
        <w:t>Ace K</w:t>
      </w:r>
      <w:r w:rsidR="006E0E02" w:rsidRPr="009934EA">
        <w:rPr>
          <w:rFonts w:cs="Arial"/>
        </w:rPr>
        <w:t xml:space="preserve"> in their products might have changed </w:t>
      </w:r>
      <w:r w:rsidRPr="009934EA">
        <w:rPr>
          <w:rFonts w:cs="Arial"/>
        </w:rPr>
        <w:t xml:space="preserve">since the time of the </w:t>
      </w:r>
      <w:r w:rsidR="00B60085" w:rsidRPr="009934EA">
        <w:rPr>
          <w:rFonts w:cs="Arial"/>
        </w:rPr>
        <w:t xml:space="preserve">2004 sweetener </w:t>
      </w:r>
      <w:r w:rsidRPr="009934EA">
        <w:rPr>
          <w:rFonts w:cs="Arial"/>
        </w:rPr>
        <w:t xml:space="preserve">survey </w:t>
      </w:r>
      <w:r w:rsidR="006E0E02" w:rsidRPr="009934EA">
        <w:rPr>
          <w:rFonts w:cs="Arial"/>
        </w:rPr>
        <w:t xml:space="preserve">due to reformulation of existing products and formulation of new </w:t>
      </w:r>
      <w:r w:rsidR="00325449" w:rsidRPr="009934EA">
        <w:rPr>
          <w:rFonts w:cs="Arial"/>
        </w:rPr>
        <w:t>products</w:t>
      </w:r>
      <w:r w:rsidR="00407CE4" w:rsidRPr="009934EA">
        <w:rPr>
          <w:rFonts w:cs="Arial"/>
        </w:rPr>
        <w:t>.</w:t>
      </w:r>
      <w:r w:rsidR="00407CE4">
        <w:rPr>
          <w:rFonts w:cs="Arial"/>
        </w:rPr>
        <w:t xml:space="preserve"> </w:t>
      </w:r>
      <w:r w:rsidR="00255F9E">
        <w:rPr>
          <w:rFonts w:cs="Arial"/>
        </w:rPr>
        <w:t>The availability of other intense sweeteners provides the opportunity to use different sweetener combinations in different food products, which may affect the use of individual sweeteners.</w:t>
      </w:r>
      <w:r w:rsidR="006E0E02">
        <w:rPr>
          <w:rFonts w:cs="Arial"/>
        </w:rPr>
        <w:t>.</w:t>
      </w:r>
      <w:r w:rsidR="00B81CEE">
        <w:rPr>
          <w:rFonts w:cs="Arial"/>
        </w:rPr>
        <w:t>.</w:t>
      </w:r>
    </w:p>
    <w:p w14:paraId="6E0D8220" w14:textId="77777777" w:rsidR="001871C0" w:rsidRPr="00B24DC9" w:rsidRDefault="006001D5" w:rsidP="002A1327">
      <w:pPr>
        <w:pStyle w:val="Heading3"/>
      </w:pPr>
      <w:bookmarkStart w:id="42" w:name="_Toc427684473"/>
      <w:r>
        <w:t>4.1.2</w:t>
      </w:r>
      <w:r>
        <w:tab/>
      </w:r>
      <w:r w:rsidR="001871C0" w:rsidRPr="00EA089B">
        <w:t>Assessment of dietary</w:t>
      </w:r>
      <w:r w:rsidR="001871C0">
        <w:t xml:space="preserve"> </w:t>
      </w:r>
      <w:r w:rsidR="001871C0" w:rsidRPr="00B24DC9">
        <w:t xml:space="preserve">exposure to </w:t>
      </w:r>
      <w:r w:rsidR="001871C0">
        <w:t>Ace K in chewing gum</w:t>
      </w:r>
      <w:bookmarkEnd w:id="42"/>
    </w:p>
    <w:p w14:paraId="6E0D8221" w14:textId="77777777" w:rsidR="006E0E02" w:rsidRDefault="002853C4" w:rsidP="006E0E02">
      <w:pPr>
        <w:rPr>
          <w:rFonts w:cs="Arial"/>
        </w:rPr>
      </w:pPr>
      <w:r>
        <w:rPr>
          <w:rFonts w:cs="Arial"/>
        </w:rPr>
        <w:t xml:space="preserve">As the </w:t>
      </w:r>
      <w:r w:rsidR="006E0E02">
        <w:rPr>
          <w:rFonts w:cs="Arial"/>
        </w:rPr>
        <w:t xml:space="preserve">overall </w:t>
      </w:r>
      <w:r w:rsidR="00F82100">
        <w:rPr>
          <w:rFonts w:cs="Arial"/>
        </w:rPr>
        <w:t>mean and the 90</w:t>
      </w:r>
      <w:r w:rsidR="00F82100" w:rsidRPr="00F82100">
        <w:rPr>
          <w:rFonts w:cs="Arial"/>
          <w:vertAlign w:val="superscript"/>
        </w:rPr>
        <w:t>th</w:t>
      </w:r>
      <w:r w:rsidR="00F82100">
        <w:rPr>
          <w:rFonts w:cs="Arial"/>
        </w:rPr>
        <w:t xml:space="preserve"> percentile </w:t>
      </w:r>
      <w:r>
        <w:rPr>
          <w:rFonts w:cs="Arial"/>
        </w:rPr>
        <w:t xml:space="preserve">estimated </w:t>
      </w:r>
      <w:r w:rsidR="006E0E02">
        <w:rPr>
          <w:rFonts w:cs="Arial"/>
        </w:rPr>
        <w:t>exposure</w:t>
      </w:r>
      <w:r>
        <w:rPr>
          <w:rFonts w:cs="Arial"/>
        </w:rPr>
        <w:t>s</w:t>
      </w:r>
      <w:r w:rsidR="006E0E02">
        <w:rPr>
          <w:rFonts w:cs="Arial"/>
        </w:rPr>
        <w:t xml:space="preserve"> to </w:t>
      </w:r>
      <w:r w:rsidR="00C27F2F">
        <w:rPr>
          <w:rFonts w:cs="Arial"/>
        </w:rPr>
        <w:t>Ace K</w:t>
      </w:r>
      <w:r w:rsidR="006E0E02">
        <w:rPr>
          <w:rFonts w:cs="Arial"/>
        </w:rPr>
        <w:t xml:space="preserve"> </w:t>
      </w:r>
      <w:r w:rsidR="00DC4811">
        <w:rPr>
          <w:rFonts w:cs="Arial"/>
        </w:rPr>
        <w:t xml:space="preserve">for populations aged 12 </w:t>
      </w:r>
      <w:r w:rsidR="00CB183D">
        <w:rPr>
          <w:rFonts w:cs="Arial"/>
        </w:rPr>
        <w:t>y</w:t>
      </w:r>
      <w:r w:rsidR="00DC4811">
        <w:rPr>
          <w:rFonts w:cs="Arial"/>
        </w:rPr>
        <w:t>e</w:t>
      </w:r>
      <w:r w:rsidR="00CB183D">
        <w:rPr>
          <w:rFonts w:cs="Arial"/>
        </w:rPr>
        <w:t xml:space="preserve">ars and over in Australia and New Zealand </w:t>
      </w:r>
      <w:r w:rsidR="004A324A">
        <w:rPr>
          <w:rFonts w:cs="Arial"/>
        </w:rPr>
        <w:t xml:space="preserve">from the </w:t>
      </w:r>
      <w:r w:rsidR="006E0E02">
        <w:rPr>
          <w:rFonts w:cs="Arial"/>
        </w:rPr>
        <w:t>2004 sweetener survey</w:t>
      </w:r>
      <w:r w:rsidR="004A324A">
        <w:rPr>
          <w:rFonts w:cs="Arial"/>
        </w:rPr>
        <w:t xml:space="preserve"> </w:t>
      </w:r>
      <w:r w:rsidR="00250788">
        <w:rPr>
          <w:rFonts w:cs="Arial"/>
        </w:rPr>
        <w:t xml:space="preserve">were </w:t>
      </w:r>
      <w:r w:rsidR="004A324A">
        <w:rPr>
          <w:rFonts w:cs="Arial"/>
        </w:rPr>
        <w:t>low,</w:t>
      </w:r>
      <w:r w:rsidR="006E0E02">
        <w:rPr>
          <w:rFonts w:cs="Arial"/>
        </w:rPr>
        <w:t xml:space="preserve"> and the current proposed change is to increase the MPL for intensely sweetened chewing gums only</w:t>
      </w:r>
      <w:r w:rsidR="0031334C">
        <w:rPr>
          <w:rFonts w:cs="Arial"/>
        </w:rPr>
        <w:t xml:space="preserve"> (a food that is </w:t>
      </w:r>
      <w:r>
        <w:rPr>
          <w:rFonts w:cs="Arial"/>
        </w:rPr>
        <w:t>consumed in small quantities by a small</w:t>
      </w:r>
      <w:r w:rsidR="0031334C">
        <w:rPr>
          <w:rFonts w:cs="Arial"/>
        </w:rPr>
        <w:t xml:space="preserve"> proportion of the general population)</w:t>
      </w:r>
      <w:r w:rsidR="006E0E02">
        <w:rPr>
          <w:rFonts w:cs="Arial"/>
        </w:rPr>
        <w:t xml:space="preserve">, </w:t>
      </w:r>
      <w:r w:rsidR="0031334C">
        <w:rPr>
          <w:rFonts w:cs="Arial"/>
        </w:rPr>
        <w:t xml:space="preserve">the </w:t>
      </w:r>
      <w:r w:rsidR="006E0E02">
        <w:rPr>
          <w:rFonts w:cs="Arial"/>
        </w:rPr>
        <w:t xml:space="preserve">chosen dietary modelling approach for </w:t>
      </w:r>
      <w:r w:rsidR="00C27F2F">
        <w:rPr>
          <w:rFonts w:cs="Arial"/>
        </w:rPr>
        <w:t>Ace K</w:t>
      </w:r>
      <w:r w:rsidR="0031334C">
        <w:rPr>
          <w:rFonts w:cs="Arial"/>
        </w:rPr>
        <w:t xml:space="preserve"> was simplified. </w:t>
      </w:r>
      <w:r w:rsidR="00DF193F">
        <w:rPr>
          <w:rFonts w:cs="Arial"/>
        </w:rPr>
        <w:t>This included determining</w:t>
      </w:r>
      <w:r w:rsidR="006E0E02">
        <w:rPr>
          <w:rFonts w:cs="Arial"/>
        </w:rPr>
        <w:t>:</w:t>
      </w:r>
    </w:p>
    <w:p w14:paraId="6E0D8222" w14:textId="77777777" w:rsidR="006001D5" w:rsidRDefault="006001D5" w:rsidP="006E0E02">
      <w:pPr>
        <w:rPr>
          <w:rFonts w:cs="Arial"/>
        </w:rPr>
      </w:pPr>
    </w:p>
    <w:p w14:paraId="6E0D8223" w14:textId="77777777" w:rsidR="006E0E02" w:rsidRPr="00AE6D14" w:rsidRDefault="00675B84" w:rsidP="00D90F8F">
      <w:pPr>
        <w:pStyle w:val="FSBullet1"/>
      </w:pPr>
      <w:r>
        <w:t xml:space="preserve">the </w:t>
      </w:r>
      <w:r w:rsidR="006E0E02" w:rsidRPr="00AE6D14">
        <w:t>consumption</w:t>
      </w:r>
      <w:r w:rsidR="00DF193F">
        <w:t xml:space="preserve"> amount</w:t>
      </w:r>
      <w:r w:rsidR="006E0E02" w:rsidRPr="00AE6D14">
        <w:t xml:space="preserve"> for intensely sweetened chewing gum based on the latest </w:t>
      </w:r>
      <w:r w:rsidR="000F00EF">
        <w:t xml:space="preserve">nutrition </w:t>
      </w:r>
      <w:r w:rsidR="006E0E02" w:rsidRPr="00AE6D14">
        <w:t>surveys for Australia and New Zealand</w:t>
      </w:r>
      <w:r w:rsidR="00DF4AAF">
        <w:t xml:space="preserve"> </w:t>
      </w:r>
    </w:p>
    <w:p w14:paraId="6E0D8224" w14:textId="77777777" w:rsidR="006E0E02" w:rsidRDefault="00675B84" w:rsidP="00D90F8F">
      <w:pPr>
        <w:pStyle w:val="FSBullet1"/>
      </w:pPr>
      <w:r>
        <w:t xml:space="preserve">The </w:t>
      </w:r>
      <w:r w:rsidR="006E0E02" w:rsidRPr="00AE6D14">
        <w:t xml:space="preserve">impact </w:t>
      </w:r>
      <w:r w:rsidR="000F00EF">
        <w:t xml:space="preserve">on </w:t>
      </w:r>
      <w:r w:rsidR="002853C4">
        <w:t>estimated</w:t>
      </w:r>
      <w:r w:rsidR="006E0E02" w:rsidRPr="00AE6D14">
        <w:t xml:space="preserve"> </w:t>
      </w:r>
      <w:r w:rsidR="002853C4">
        <w:t xml:space="preserve">baseline </w:t>
      </w:r>
      <w:r w:rsidR="006E0E02" w:rsidRPr="00AE6D14">
        <w:t xml:space="preserve">dietary exposure </w:t>
      </w:r>
      <w:r w:rsidR="002853C4">
        <w:t>from</w:t>
      </w:r>
      <w:r w:rsidR="002853C4" w:rsidRPr="00AE6D14">
        <w:t xml:space="preserve"> </w:t>
      </w:r>
      <w:r w:rsidR="006E0E02" w:rsidRPr="00AE6D14">
        <w:t>the proposed increase in MPL for the intensely sweetened chewing gum</w:t>
      </w:r>
      <w:r w:rsidR="00DF193F">
        <w:t xml:space="preserve"> as a percent of the ADI</w:t>
      </w:r>
      <w:r w:rsidR="00E76AED">
        <w:t xml:space="preserve">. </w:t>
      </w:r>
      <w:r w:rsidR="00843077">
        <w:t>I.e</w:t>
      </w:r>
      <w:r w:rsidR="0092065E">
        <w:t>.</w:t>
      </w:r>
      <w:r w:rsidR="00E76AED">
        <w:t xml:space="preserve"> a </w:t>
      </w:r>
      <w:r w:rsidR="00EB1159" w:rsidRPr="00EB1159">
        <w:rPr>
          <w:i/>
        </w:rPr>
        <w:t>B</w:t>
      </w:r>
      <w:r w:rsidR="00E76AED" w:rsidRPr="00EB1159">
        <w:rPr>
          <w:i/>
        </w:rPr>
        <w:t>aseline</w:t>
      </w:r>
      <w:r w:rsidR="00E76AED">
        <w:t xml:space="preserve"> model reflecting the current MPL </w:t>
      </w:r>
      <w:r w:rsidR="00F82100" w:rsidRPr="00AE6D14">
        <w:t xml:space="preserve">for intensely sweetened chewing gum </w:t>
      </w:r>
      <w:r w:rsidR="00E76AED">
        <w:t xml:space="preserve">and a </w:t>
      </w:r>
      <w:r w:rsidR="00EB1159" w:rsidRPr="00EB1159">
        <w:rPr>
          <w:i/>
        </w:rPr>
        <w:t>Scenario</w:t>
      </w:r>
      <w:r w:rsidR="00E76AED">
        <w:t xml:space="preserve"> </w:t>
      </w:r>
      <w:r w:rsidR="00130859">
        <w:t xml:space="preserve">model </w:t>
      </w:r>
      <w:r w:rsidR="00E76AED">
        <w:t xml:space="preserve">including the proposed MPL as </w:t>
      </w:r>
      <w:r w:rsidR="00E76AED" w:rsidRPr="002102C2">
        <w:t xml:space="preserve">specified in </w:t>
      </w:r>
      <w:r w:rsidR="00E76AED" w:rsidRPr="002102C2">
        <w:fldChar w:fldCharType="begin"/>
      </w:r>
      <w:r w:rsidR="00E76AED" w:rsidRPr="002102C2">
        <w:instrText xml:space="preserve"> REF _Ref406494059 \h </w:instrText>
      </w:r>
      <w:r w:rsidR="00E76AED">
        <w:instrText xml:space="preserve"> \* MERGEFORMAT </w:instrText>
      </w:r>
      <w:r w:rsidR="00E76AED" w:rsidRPr="002102C2">
        <w:fldChar w:fldCharType="separate"/>
      </w:r>
      <w:r w:rsidR="00B514D9">
        <w:t xml:space="preserve">Table </w:t>
      </w:r>
      <w:r w:rsidR="00B514D9">
        <w:rPr>
          <w:noProof/>
        </w:rPr>
        <w:t>4.1</w:t>
      </w:r>
      <w:r w:rsidR="00E76AED" w:rsidRPr="002102C2">
        <w:fldChar w:fldCharType="end"/>
      </w:r>
      <w:r w:rsidR="00DF4AAF">
        <w:t>.</w:t>
      </w:r>
    </w:p>
    <w:p w14:paraId="6E0D8225" w14:textId="77777777" w:rsidR="00440C3B" w:rsidRDefault="00440C3B" w:rsidP="007E7CB7"/>
    <w:p w14:paraId="6E0D8226" w14:textId="77777777" w:rsidR="00DF193F" w:rsidRDefault="00DF193F" w:rsidP="007E7CB7">
      <w:r>
        <w:t xml:space="preserve">This estimate of dietary exposure from chewing gum only was </w:t>
      </w:r>
      <w:r w:rsidR="00CB183D">
        <w:t>combined with</w:t>
      </w:r>
      <w:r>
        <w:t xml:space="preserve"> the exposure from the whole diet from the </w:t>
      </w:r>
      <w:r w:rsidR="002853C4">
        <w:t xml:space="preserve">2004 </w:t>
      </w:r>
      <w:r>
        <w:t>sweetener survey</w:t>
      </w:r>
      <w:r w:rsidR="00CB183D">
        <w:t xml:space="preserve"> for baseline and scenario</w:t>
      </w:r>
      <w:r>
        <w:t>.</w:t>
      </w:r>
    </w:p>
    <w:p w14:paraId="6E0D8227" w14:textId="77777777" w:rsidR="00DF193F" w:rsidRDefault="00DF193F" w:rsidP="007E7CB7"/>
    <w:p w14:paraId="6E0D8228" w14:textId="77777777" w:rsidR="007E7CB7" w:rsidRDefault="007E7CB7" w:rsidP="007E7CB7">
      <w:pPr>
        <w:pStyle w:val="FSTableTitle"/>
      </w:pPr>
      <w:bookmarkStart w:id="43" w:name="_Ref406494059"/>
      <w:bookmarkStart w:id="44" w:name="_Ref406501388"/>
      <w:r>
        <w:t xml:space="preserve">Table </w:t>
      </w:r>
      <w:r>
        <w:fldChar w:fldCharType="begin"/>
      </w:r>
      <w:r>
        <w:instrText xml:space="preserve"> STYLEREF 1 \s </w:instrText>
      </w:r>
      <w:r>
        <w:fldChar w:fldCharType="separate"/>
      </w:r>
      <w:r w:rsidR="00B514D9">
        <w:rPr>
          <w:noProof/>
        </w:rPr>
        <w:t>4</w:t>
      </w:r>
      <w:r>
        <w:rPr>
          <w:noProof/>
        </w:rPr>
        <w:fldChar w:fldCharType="end"/>
      </w:r>
      <w:r>
        <w:t>.</w:t>
      </w:r>
      <w:r>
        <w:fldChar w:fldCharType="begin"/>
      </w:r>
      <w:r>
        <w:instrText xml:space="preserve"> SEQ Table \* ARABIC \s 1 </w:instrText>
      </w:r>
      <w:r>
        <w:fldChar w:fldCharType="separate"/>
      </w:r>
      <w:r w:rsidR="00B514D9">
        <w:rPr>
          <w:noProof/>
        </w:rPr>
        <w:t>1</w:t>
      </w:r>
      <w:r>
        <w:rPr>
          <w:noProof/>
        </w:rPr>
        <w:fldChar w:fldCharType="end"/>
      </w:r>
      <w:bookmarkEnd w:id="43"/>
      <w:r w:rsidRPr="00A83B3C">
        <w:t xml:space="preserve">: </w:t>
      </w:r>
      <w:r>
        <w:t>Current and p</w:t>
      </w:r>
      <w:r w:rsidRPr="00A83B3C">
        <w:t xml:space="preserve">roposed MPLs for </w:t>
      </w:r>
      <w:r w:rsidR="00C27F2F">
        <w:t>Ace K</w:t>
      </w:r>
      <w:r>
        <w:t xml:space="preserve"> in </w:t>
      </w:r>
      <w:r w:rsidR="00DF193F">
        <w:t>intensely sweetened</w:t>
      </w:r>
      <w:r>
        <w:t xml:space="preserve"> chewing gum,</w:t>
      </w:r>
      <w:r w:rsidRPr="00A83B3C">
        <w:t xml:space="preserve"> and the level</w:t>
      </w:r>
      <w:r>
        <w:t xml:space="preserve">s used for the </w:t>
      </w:r>
      <w:bookmarkEnd w:id="44"/>
      <w:r>
        <w:t>dietary exposure assessment</w:t>
      </w:r>
    </w:p>
    <w:p w14:paraId="6E0D8229" w14:textId="77777777" w:rsidR="006001D5" w:rsidRPr="00067E0D" w:rsidRDefault="006001D5" w:rsidP="00D90F8F"/>
    <w:tbl>
      <w:tblPr>
        <w:tblStyle w:val="TableGrid"/>
        <w:tblW w:w="8755" w:type="dxa"/>
        <w:tblLayout w:type="fixed"/>
        <w:tblLook w:val="04A0" w:firstRow="1" w:lastRow="0" w:firstColumn="1" w:lastColumn="0" w:noHBand="0" w:noVBand="1"/>
      </w:tblPr>
      <w:tblGrid>
        <w:gridCol w:w="1526"/>
        <w:gridCol w:w="2410"/>
        <w:gridCol w:w="1134"/>
        <w:gridCol w:w="1134"/>
        <w:gridCol w:w="1417"/>
        <w:gridCol w:w="1134"/>
      </w:tblGrid>
      <w:tr w:rsidR="007E7CB7" w:rsidRPr="00A83B3C" w14:paraId="6E0D822F" w14:textId="77777777" w:rsidTr="007E7CB7">
        <w:tc>
          <w:tcPr>
            <w:tcW w:w="1526" w:type="dxa"/>
            <w:vMerge w:val="restart"/>
            <w:vAlign w:val="center"/>
          </w:tcPr>
          <w:p w14:paraId="6E0D822A" w14:textId="77777777" w:rsidR="007E7CB7" w:rsidRPr="00A83B3C" w:rsidRDefault="007E7CB7" w:rsidP="007E7CB7">
            <w:pPr>
              <w:spacing w:before="120" w:after="120"/>
              <w:rPr>
                <w:b/>
              </w:rPr>
            </w:pPr>
            <w:r w:rsidRPr="00A83B3C">
              <w:rPr>
                <w:b/>
              </w:rPr>
              <w:t>Food Category</w:t>
            </w:r>
            <w:r>
              <w:rPr>
                <w:b/>
              </w:rPr>
              <w:t xml:space="preserve"> Code</w:t>
            </w:r>
          </w:p>
        </w:tc>
        <w:tc>
          <w:tcPr>
            <w:tcW w:w="2410" w:type="dxa"/>
            <w:vMerge w:val="restart"/>
            <w:vAlign w:val="center"/>
          </w:tcPr>
          <w:p w14:paraId="6E0D822B" w14:textId="77777777" w:rsidR="007E7CB7" w:rsidRPr="00A83B3C" w:rsidRDefault="007E7CB7" w:rsidP="007E7CB7">
            <w:pPr>
              <w:spacing w:before="120" w:after="120"/>
              <w:rPr>
                <w:b/>
              </w:rPr>
            </w:pPr>
            <w:r w:rsidRPr="00A83B3C">
              <w:rPr>
                <w:b/>
              </w:rPr>
              <w:t xml:space="preserve">Food Category Name </w:t>
            </w:r>
          </w:p>
        </w:tc>
        <w:tc>
          <w:tcPr>
            <w:tcW w:w="2268" w:type="dxa"/>
            <w:gridSpan w:val="2"/>
            <w:vAlign w:val="center"/>
          </w:tcPr>
          <w:p w14:paraId="6E0D822C" w14:textId="77777777" w:rsidR="007E7CB7" w:rsidRDefault="007E7CB7" w:rsidP="007E7CB7">
            <w:pPr>
              <w:spacing w:before="120" w:after="120"/>
              <w:jc w:val="center"/>
              <w:rPr>
                <w:b/>
              </w:rPr>
            </w:pPr>
            <w:r w:rsidRPr="00A83B3C">
              <w:rPr>
                <w:b/>
              </w:rPr>
              <w:t>MPL</w:t>
            </w:r>
          </w:p>
          <w:p w14:paraId="6E0D822D" w14:textId="77777777" w:rsidR="007E7CB7" w:rsidRPr="00A83B3C" w:rsidRDefault="007E7CB7" w:rsidP="007E7CB7">
            <w:pPr>
              <w:spacing w:before="120" w:after="120"/>
              <w:jc w:val="center"/>
              <w:rPr>
                <w:b/>
              </w:rPr>
            </w:pPr>
            <w:r w:rsidRPr="00A83B3C">
              <w:rPr>
                <w:b/>
              </w:rPr>
              <w:t>(mg/kg)</w:t>
            </w:r>
          </w:p>
        </w:tc>
        <w:tc>
          <w:tcPr>
            <w:tcW w:w="2551" w:type="dxa"/>
            <w:gridSpan w:val="2"/>
            <w:vAlign w:val="center"/>
          </w:tcPr>
          <w:p w14:paraId="6E0D822E" w14:textId="77777777" w:rsidR="007E7CB7" w:rsidRPr="00A83B3C" w:rsidRDefault="007E7CB7" w:rsidP="007E7CB7">
            <w:pPr>
              <w:spacing w:before="120" w:after="120"/>
              <w:jc w:val="center"/>
              <w:rPr>
                <w:b/>
              </w:rPr>
            </w:pPr>
            <w:r w:rsidRPr="00A83B3C">
              <w:rPr>
                <w:b/>
              </w:rPr>
              <w:t>Concentration used in dietary exposure estimation (mg/kg)</w:t>
            </w:r>
          </w:p>
        </w:tc>
      </w:tr>
      <w:tr w:rsidR="007E7CB7" w:rsidRPr="00A83B3C" w14:paraId="6E0D8236" w14:textId="77777777" w:rsidTr="007E7CB7">
        <w:trPr>
          <w:trHeight w:val="487"/>
        </w:trPr>
        <w:tc>
          <w:tcPr>
            <w:tcW w:w="1526" w:type="dxa"/>
            <w:vMerge/>
            <w:vAlign w:val="center"/>
          </w:tcPr>
          <w:p w14:paraId="6E0D8230" w14:textId="77777777" w:rsidR="007E7CB7" w:rsidRPr="00A83B3C" w:rsidRDefault="007E7CB7" w:rsidP="007E7CB7">
            <w:pPr>
              <w:spacing w:before="120" w:after="120"/>
            </w:pPr>
          </w:p>
        </w:tc>
        <w:tc>
          <w:tcPr>
            <w:tcW w:w="2410" w:type="dxa"/>
            <w:vMerge/>
            <w:vAlign w:val="center"/>
          </w:tcPr>
          <w:p w14:paraId="6E0D8231" w14:textId="77777777" w:rsidR="007E7CB7" w:rsidRPr="00A83B3C" w:rsidRDefault="007E7CB7" w:rsidP="007E7CB7">
            <w:pPr>
              <w:spacing w:before="120" w:after="120"/>
            </w:pPr>
          </w:p>
        </w:tc>
        <w:tc>
          <w:tcPr>
            <w:tcW w:w="1134" w:type="dxa"/>
            <w:vAlign w:val="center"/>
          </w:tcPr>
          <w:p w14:paraId="6E0D8232" w14:textId="77777777" w:rsidR="007E7CB7" w:rsidRPr="00A83B3C" w:rsidRDefault="00DF193F" w:rsidP="007E7CB7">
            <w:pPr>
              <w:spacing w:before="120" w:after="120"/>
              <w:jc w:val="center"/>
              <w:rPr>
                <w:b/>
                <w:i/>
              </w:rPr>
            </w:pPr>
            <w:r>
              <w:rPr>
                <w:b/>
                <w:i/>
              </w:rPr>
              <w:t>Current</w:t>
            </w:r>
          </w:p>
        </w:tc>
        <w:tc>
          <w:tcPr>
            <w:tcW w:w="1134" w:type="dxa"/>
            <w:vAlign w:val="center"/>
          </w:tcPr>
          <w:p w14:paraId="6E0D8233" w14:textId="77777777" w:rsidR="007E7CB7" w:rsidRPr="00A83B3C" w:rsidRDefault="00DF193F" w:rsidP="007E7CB7">
            <w:pPr>
              <w:spacing w:before="120" w:after="120"/>
              <w:jc w:val="center"/>
              <w:rPr>
                <w:b/>
                <w:i/>
              </w:rPr>
            </w:pPr>
            <w:r>
              <w:rPr>
                <w:b/>
                <w:i/>
              </w:rPr>
              <w:t>Proposed</w:t>
            </w:r>
          </w:p>
        </w:tc>
        <w:tc>
          <w:tcPr>
            <w:tcW w:w="1417" w:type="dxa"/>
            <w:vAlign w:val="center"/>
          </w:tcPr>
          <w:p w14:paraId="6E0D8234" w14:textId="77777777" w:rsidR="007E7CB7" w:rsidRPr="00A83B3C" w:rsidRDefault="007E7CB7" w:rsidP="007E7CB7">
            <w:pPr>
              <w:spacing w:before="120" w:after="120"/>
              <w:jc w:val="center"/>
              <w:rPr>
                <w:b/>
                <w:i/>
              </w:rPr>
            </w:pPr>
            <w:r w:rsidRPr="00A83B3C">
              <w:rPr>
                <w:b/>
                <w:i/>
              </w:rPr>
              <w:t>Baseline</w:t>
            </w:r>
          </w:p>
        </w:tc>
        <w:tc>
          <w:tcPr>
            <w:tcW w:w="1134" w:type="dxa"/>
            <w:vAlign w:val="center"/>
          </w:tcPr>
          <w:p w14:paraId="6E0D8235" w14:textId="77777777" w:rsidR="007E7CB7" w:rsidRPr="00A83B3C" w:rsidRDefault="007E7CB7" w:rsidP="007E7CB7">
            <w:pPr>
              <w:spacing w:before="120" w:after="120"/>
              <w:jc w:val="center"/>
              <w:rPr>
                <w:b/>
                <w:i/>
              </w:rPr>
            </w:pPr>
            <w:r w:rsidRPr="00A83B3C">
              <w:rPr>
                <w:b/>
                <w:i/>
              </w:rPr>
              <w:t>Scenario</w:t>
            </w:r>
          </w:p>
        </w:tc>
      </w:tr>
      <w:tr w:rsidR="007E7CB7" w:rsidRPr="00A83B3C" w14:paraId="6E0D823D" w14:textId="77777777" w:rsidTr="00E93333">
        <w:tc>
          <w:tcPr>
            <w:tcW w:w="1526" w:type="dxa"/>
            <w:vAlign w:val="center"/>
          </w:tcPr>
          <w:p w14:paraId="6E0D8237" w14:textId="77777777" w:rsidR="007E7CB7" w:rsidRPr="001713AF" w:rsidRDefault="007E7CB7" w:rsidP="007E7CB7">
            <w:pPr>
              <w:spacing w:before="120" w:after="120"/>
              <w:rPr>
                <w:rFonts w:ascii="Arial" w:hAnsi="Arial" w:cs="Arial"/>
              </w:rPr>
            </w:pPr>
            <w:r>
              <w:rPr>
                <w:rFonts w:ascii="Arial" w:hAnsi="Arial" w:cs="Arial"/>
              </w:rPr>
              <w:t>5.2.1.1</w:t>
            </w:r>
          </w:p>
        </w:tc>
        <w:tc>
          <w:tcPr>
            <w:tcW w:w="2410" w:type="dxa"/>
            <w:vAlign w:val="center"/>
          </w:tcPr>
          <w:p w14:paraId="6E0D8238" w14:textId="77777777" w:rsidR="007E7CB7" w:rsidRPr="001713AF" w:rsidRDefault="007E7CB7" w:rsidP="007E7CB7">
            <w:pPr>
              <w:spacing w:before="120" w:after="120"/>
              <w:rPr>
                <w:rFonts w:ascii="Arial" w:hAnsi="Arial" w:cs="Arial"/>
              </w:rPr>
            </w:pPr>
            <w:r>
              <w:rPr>
                <w:rFonts w:ascii="Arial" w:hAnsi="Arial" w:cs="Arial"/>
              </w:rPr>
              <w:t>Low joule chewing gum</w:t>
            </w:r>
          </w:p>
        </w:tc>
        <w:tc>
          <w:tcPr>
            <w:tcW w:w="1134" w:type="dxa"/>
          </w:tcPr>
          <w:p w14:paraId="6E0D8239" w14:textId="77777777" w:rsidR="007E7CB7" w:rsidRPr="001713AF" w:rsidRDefault="007E7CB7" w:rsidP="00E93333">
            <w:pPr>
              <w:spacing w:before="120" w:after="120"/>
              <w:jc w:val="center"/>
              <w:rPr>
                <w:rFonts w:ascii="Arial" w:hAnsi="Arial" w:cs="Arial"/>
              </w:rPr>
            </w:pPr>
            <w:r>
              <w:rPr>
                <w:rFonts w:ascii="Arial" w:hAnsi="Arial" w:cs="Arial"/>
              </w:rPr>
              <w:t>2000</w:t>
            </w:r>
          </w:p>
        </w:tc>
        <w:tc>
          <w:tcPr>
            <w:tcW w:w="1134" w:type="dxa"/>
          </w:tcPr>
          <w:p w14:paraId="6E0D823A" w14:textId="77777777" w:rsidR="007E7CB7" w:rsidRPr="001713AF" w:rsidRDefault="007E7CB7" w:rsidP="00E93333">
            <w:pPr>
              <w:spacing w:before="120" w:after="120"/>
              <w:jc w:val="center"/>
              <w:rPr>
                <w:rFonts w:ascii="Arial" w:hAnsi="Arial" w:cs="Arial"/>
              </w:rPr>
            </w:pPr>
            <w:r>
              <w:rPr>
                <w:rFonts w:ascii="Arial" w:hAnsi="Arial" w:cs="Arial"/>
              </w:rPr>
              <w:t>5000</w:t>
            </w:r>
          </w:p>
        </w:tc>
        <w:tc>
          <w:tcPr>
            <w:tcW w:w="1417" w:type="dxa"/>
          </w:tcPr>
          <w:p w14:paraId="6E0D823B" w14:textId="77777777" w:rsidR="007E7CB7" w:rsidRPr="001713AF" w:rsidRDefault="007E7CB7" w:rsidP="00E93333">
            <w:pPr>
              <w:spacing w:before="120" w:after="120"/>
              <w:jc w:val="center"/>
              <w:rPr>
                <w:rFonts w:ascii="Arial" w:hAnsi="Arial" w:cs="Arial"/>
              </w:rPr>
            </w:pPr>
            <w:r>
              <w:rPr>
                <w:rFonts w:ascii="Arial" w:hAnsi="Arial" w:cs="Arial"/>
              </w:rPr>
              <w:t>2000</w:t>
            </w:r>
          </w:p>
        </w:tc>
        <w:tc>
          <w:tcPr>
            <w:tcW w:w="1134" w:type="dxa"/>
          </w:tcPr>
          <w:p w14:paraId="6E0D823C" w14:textId="77777777" w:rsidR="007E7CB7" w:rsidRPr="001713AF" w:rsidRDefault="007E7CB7" w:rsidP="00E93333">
            <w:pPr>
              <w:spacing w:before="120" w:after="120"/>
              <w:jc w:val="center"/>
              <w:rPr>
                <w:rFonts w:ascii="Arial" w:hAnsi="Arial" w:cs="Arial"/>
              </w:rPr>
            </w:pPr>
            <w:r>
              <w:rPr>
                <w:rFonts w:ascii="Arial" w:hAnsi="Arial" w:cs="Arial"/>
              </w:rPr>
              <w:t>5000</w:t>
            </w:r>
          </w:p>
        </w:tc>
      </w:tr>
    </w:tbl>
    <w:p w14:paraId="6E0D823E" w14:textId="77777777" w:rsidR="007E7CB7" w:rsidRDefault="007E7CB7" w:rsidP="007E7CB7">
      <w:pPr>
        <w:rPr>
          <w:rFonts w:cs="Arial"/>
        </w:rPr>
      </w:pPr>
    </w:p>
    <w:p w14:paraId="6E0D823F" w14:textId="77777777" w:rsidR="00DF193F" w:rsidRPr="00FE0034" w:rsidRDefault="00DF193F" w:rsidP="00DF193F">
      <w:pPr>
        <w:rPr>
          <w:rFonts w:cs="Arial"/>
        </w:rPr>
      </w:pPr>
      <w:r w:rsidRPr="00FE0034">
        <w:rPr>
          <w:rFonts w:cs="Arial"/>
        </w:rPr>
        <w:t xml:space="preserve">A summary of the general FSANZ approach to conducting the dietary exposure assessment for this Application is at Appendix 1. A detailed discussion of the FSANZ methodology and approach to conducting dietary exposure assessments is set out in </w:t>
      </w:r>
      <w:r w:rsidRPr="00FE0034">
        <w:rPr>
          <w:rFonts w:cs="Arial"/>
          <w:i/>
        </w:rPr>
        <w:t xml:space="preserve">Principles and Practices of Dietary Exposure Assessment for Food Regulatory Purposes </w:t>
      </w:r>
      <w:r w:rsidRPr="00FE0034">
        <w:rPr>
          <w:rFonts w:cs="Arial"/>
        </w:rPr>
        <w:t>(FSANZ 2009).</w:t>
      </w:r>
    </w:p>
    <w:p w14:paraId="6E0D8240" w14:textId="77777777" w:rsidR="0031334C" w:rsidRPr="001C7DDD" w:rsidRDefault="006001D5" w:rsidP="002A1327">
      <w:pPr>
        <w:pStyle w:val="Heading3"/>
      </w:pPr>
      <w:bookmarkStart w:id="45" w:name="_Toc427684474"/>
      <w:r>
        <w:t>4.1.3</w:t>
      </w:r>
      <w:r>
        <w:tab/>
      </w:r>
      <w:r w:rsidR="0031334C" w:rsidRPr="001C7DDD">
        <w:t>Consumption data used</w:t>
      </w:r>
      <w:bookmarkEnd w:id="45"/>
    </w:p>
    <w:p w14:paraId="6E0D8241" w14:textId="77777777" w:rsidR="0031334C" w:rsidRDefault="0031334C" w:rsidP="0031334C">
      <w:r w:rsidRPr="001C7DDD">
        <w:t xml:space="preserve">The food consumption data for chewing gum used to estimate dietary exposures to </w:t>
      </w:r>
      <w:r w:rsidR="00C27F2F">
        <w:t>Ace K</w:t>
      </w:r>
      <w:r w:rsidRPr="001C7DDD">
        <w:t xml:space="preserve"> </w:t>
      </w:r>
      <w:r w:rsidR="00E148BF">
        <w:t xml:space="preserve">from this product </w:t>
      </w:r>
      <w:r w:rsidRPr="001C7DDD">
        <w:t xml:space="preserve">for the Australian and New Zealand populations </w:t>
      </w:r>
      <w:r w:rsidRPr="001C1234">
        <w:t>were:</w:t>
      </w:r>
    </w:p>
    <w:p w14:paraId="6E0D8242" w14:textId="77777777" w:rsidR="00394444" w:rsidRPr="001C1234" w:rsidRDefault="00394444" w:rsidP="0031334C"/>
    <w:p w14:paraId="6E0D8243" w14:textId="77777777" w:rsidR="0031334C" w:rsidRPr="001C1234" w:rsidRDefault="0031334C" w:rsidP="00D90F8F">
      <w:pPr>
        <w:pStyle w:val="FSBullet1"/>
      </w:pPr>
      <w:r w:rsidRPr="001C1234">
        <w:t>2011</w:t>
      </w:r>
      <w:r w:rsidR="00675B84">
        <w:t>–</w:t>
      </w:r>
      <w:r w:rsidRPr="001C1234">
        <w:t xml:space="preserve">12 Australian National Nutrition and Physical Activity Survey </w:t>
      </w:r>
      <w:r w:rsidR="00C529C0" w:rsidRPr="00FA309B">
        <w:t>(2011</w:t>
      </w:r>
      <w:r w:rsidR="00C529C0">
        <w:t> </w:t>
      </w:r>
      <w:r w:rsidR="002853C4">
        <w:t>NNPAS</w:t>
      </w:r>
      <w:r w:rsidR="00C529C0" w:rsidRPr="00FA309B">
        <w:t>)</w:t>
      </w:r>
      <w:r w:rsidR="00C529C0" w:rsidRPr="001C1234">
        <w:t xml:space="preserve"> </w:t>
      </w:r>
    </w:p>
    <w:p w14:paraId="6E0D8244" w14:textId="77777777" w:rsidR="0031334C" w:rsidRPr="001C7DDD" w:rsidRDefault="0031334C" w:rsidP="00D90F8F">
      <w:pPr>
        <w:pStyle w:val="FSBullet1"/>
      </w:pPr>
      <w:r w:rsidRPr="001C7DDD">
        <w:t>2008</w:t>
      </w:r>
      <w:r w:rsidR="00675B84">
        <w:t>–</w:t>
      </w:r>
      <w:r w:rsidRPr="001C7DDD">
        <w:t>09 New Zealand Adult Nutrition Survey (2008 NZANS)</w:t>
      </w:r>
    </w:p>
    <w:p w14:paraId="6E0D8245" w14:textId="77777777" w:rsidR="00675B84" w:rsidRDefault="0031334C" w:rsidP="0031334C">
      <w:pPr>
        <w:pStyle w:val="FSBullet1"/>
      </w:pPr>
      <w:r w:rsidRPr="001C7DDD">
        <w:t>2002 New Zealand National Children’s Nutrition Survey (2002 NZNNS).</w:t>
      </w:r>
    </w:p>
    <w:p w14:paraId="6E5325AE" w14:textId="77777777" w:rsidR="001035B2" w:rsidRPr="001035B2" w:rsidRDefault="001035B2" w:rsidP="001035B2">
      <w:pPr>
        <w:rPr>
          <w:lang w:bidi="ar-SA"/>
        </w:rPr>
      </w:pPr>
    </w:p>
    <w:p w14:paraId="6E0D8246" w14:textId="36F1A95F" w:rsidR="001035B2" w:rsidRDefault="0031334C" w:rsidP="0031334C">
      <w:r w:rsidRPr="001C7DDD">
        <w:t xml:space="preserve">The design of each of these surveys varies somewhat and key attributes of each, including survey limitations, are set out in </w:t>
      </w:r>
      <w:r w:rsidRPr="001C7DDD">
        <w:fldChar w:fldCharType="begin"/>
      </w:r>
      <w:r w:rsidRPr="001C7DDD">
        <w:instrText xml:space="preserve"> REF _Ref420934813 \h </w:instrText>
      </w:r>
      <w:r w:rsidR="001C7DDD">
        <w:instrText xml:space="preserve"> \* MERGEFORMAT </w:instrText>
      </w:r>
      <w:r w:rsidRPr="001C7DDD">
        <w:fldChar w:fldCharType="separate"/>
      </w:r>
      <w:r w:rsidR="00F613E5">
        <w:t xml:space="preserve">Appendix </w:t>
      </w:r>
      <w:r w:rsidR="00F613E5">
        <w:rPr>
          <w:noProof/>
        </w:rPr>
        <w:t>1</w:t>
      </w:r>
      <w:r w:rsidR="00F613E5" w:rsidRPr="00C66F07">
        <w:t>: Dietary Exposure Assessments at FSANZ</w:t>
      </w:r>
      <w:r w:rsidRPr="001C7DDD">
        <w:fldChar w:fldCharType="end"/>
      </w:r>
      <w:r w:rsidRPr="001C7DDD">
        <w:t>.</w:t>
      </w:r>
      <w:r w:rsidR="001035B2">
        <w:br w:type="page"/>
      </w:r>
    </w:p>
    <w:p w14:paraId="6E0D8248" w14:textId="77777777" w:rsidR="0031334C" w:rsidRDefault="0031334C" w:rsidP="005405A4">
      <w:r w:rsidRPr="001C7DDD">
        <w:rPr>
          <w:rFonts w:cs="Arial"/>
        </w:rPr>
        <w:lastRenderedPageBreak/>
        <w:t xml:space="preserve">The hazard identification and </w:t>
      </w:r>
      <w:r w:rsidRPr="001C1234">
        <w:rPr>
          <w:rFonts w:cs="Arial"/>
        </w:rPr>
        <w:t xml:space="preserve">characterisation (Section </w:t>
      </w:r>
      <w:r w:rsidRPr="001C1234">
        <w:rPr>
          <w:rFonts w:cs="Arial"/>
        </w:rPr>
        <w:fldChar w:fldCharType="begin"/>
      </w:r>
      <w:r w:rsidRPr="001C1234">
        <w:rPr>
          <w:rFonts w:cs="Arial"/>
        </w:rPr>
        <w:instrText xml:space="preserve"> REF _Ref421269523 \r \h </w:instrText>
      </w:r>
      <w:r w:rsidR="001C7DDD" w:rsidRPr="001C1234">
        <w:rPr>
          <w:rFonts w:cs="Arial"/>
        </w:rPr>
        <w:instrText xml:space="preserve"> \* MERGEFORMAT </w:instrText>
      </w:r>
      <w:r w:rsidRPr="001C1234">
        <w:rPr>
          <w:rFonts w:cs="Arial"/>
        </w:rPr>
      </w:r>
      <w:r w:rsidRPr="001C1234">
        <w:rPr>
          <w:rFonts w:cs="Arial"/>
        </w:rPr>
        <w:fldChar w:fldCharType="separate"/>
      </w:r>
      <w:r w:rsidR="00B514D9">
        <w:rPr>
          <w:rFonts w:cs="Arial"/>
        </w:rPr>
        <w:t>3</w:t>
      </w:r>
      <w:r w:rsidRPr="001C1234">
        <w:rPr>
          <w:rFonts w:cs="Arial"/>
        </w:rPr>
        <w:fldChar w:fldCharType="end"/>
      </w:r>
      <w:r w:rsidRPr="001C1234">
        <w:rPr>
          <w:rFonts w:cs="Arial"/>
        </w:rPr>
        <w:t xml:space="preserve">) </w:t>
      </w:r>
      <w:r w:rsidRPr="001C7DDD">
        <w:rPr>
          <w:rFonts w:cs="Arial"/>
        </w:rPr>
        <w:t xml:space="preserve">did not identify any population sub-groups for which there were specific safety considerations in relation to exposure to </w:t>
      </w:r>
      <w:r w:rsidR="00C27F2F">
        <w:t>Ace K</w:t>
      </w:r>
      <w:r w:rsidRPr="001C7DDD">
        <w:rPr>
          <w:rFonts w:cs="Arial"/>
        </w:rPr>
        <w:t xml:space="preserve">. </w:t>
      </w:r>
      <w:r w:rsidRPr="001C7DDD">
        <w:t xml:space="preserve">A dietary exposure assessment </w:t>
      </w:r>
      <w:r w:rsidR="00CB183D">
        <w:t xml:space="preserve">for Ace K from chewing gum </w:t>
      </w:r>
      <w:r w:rsidRPr="001C7DDD">
        <w:t xml:space="preserve">was conducted for </w:t>
      </w:r>
      <w:r w:rsidR="008F4820">
        <w:t>children aged 2</w:t>
      </w:r>
      <w:r w:rsidR="00675B84">
        <w:rPr>
          <w:rFonts w:cs="Arial"/>
        </w:rPr>
        <w:t>–</w:t>
      </w:r>
      <w:r w:rsidR="008F4820">
        <w:t>6, 7</w:t>
      </w:r>
      <w:r w:rsidR="00675B84">
        <w:rPr>
          <w:rFonts w:cs="Arial"/>
        </w:rPr>
        <w:t>–</w:t>
      </w:r>
      <w:r w:rsidR="008F4820">
        <w:t>11 years, for the gener</w:t>
      </w:r>
      <w:r w:rsidR="00CB183D">
        <w:t>al po</w:t>
      </w:r>
      <w:r w:rsidR="008F4820">
        <w:t>pulation aged 2 years and over and for the population aged 12 years and over for Australia; and for children aged 5</w:t>
      </w:r>
      <w:r w:rsidR="00675B84">
        <w:rPr>
          <w:rFonts w:cs="Arial"/>
        </w:rPr>
        <w:t>–</w:t>
      </w:r>
      <w:r w:rsidR="008F4820">
        <w:t xml:space="preserve">14 years and the population aged 15 years and over for New Zealand.  </w:t>
      </w:r>
      <w:r w:rsidRPr="001C7DDD">
        <w:t xml:space="preserve"> </w:t>
      </w:r>
    </w:p>
    <w:p w14:paraId="6E0D8249" w14:textId="77777777" w:rsidR="00675B84" w:rsidRPr="001C7DDD" w:rsidRDefault="00675B84" w:rsidP="005405A4"/>
    <w:p w14:paraId="6E0D824A" w14:textId="77777777" w:rsidR="006906BE" w:rsidRPr="001C7DDD" w:rsidRDefault="006906BE" w:rsidP="006906BE">
      <w:pPr>
        <w:rPr>
          <w:rFonts w:cs="Arial"/>
        </w:rPr>
      </w:pPr>
      <w:r w:rsidRPr="001C7DDD">
        <w:rPr>
          <w:rFonts w:cs="Arial"/>
        </w:rPr>
        <w:t xml:space="preserve">Based on the latest Australia and New Zealand nutrition surveys, the proportion of the population consuming intensely sweetened chewing gum were </w:t>
      </w:r>
      <w:r w:rsidR="00CB183D">
        <w:rPr>
          <w:rFonts w:cs="Arial"/>
        </w:rPr>
        <w:t>0</w:t>
      </w:r>
      <w:r w:rsidR="00675B84">
        <w:rPr>
          <w:rFonts w:cs="Arial"/>
        </w:rPr>
        <w:t>–</w:t>
      </w:r>
      <w:r w:rsidRPr="001C7DDD">
        <w:rPr>
          <w:rFonts w:cs="Arial"/>
        </w:rPr>
        <w:t xml:space="preserve">1%. Mean consumer consumption for these products was </w:t>
      </w:r>
      <w:r w:rsidR="00A21146">
        <w:rPr>
          <w:rFonts w:cs="Arial"/>
        </w:rPr>
        <w:t>2.5</w:t>
      </w:r>
      <w:r w:rsidR="00675B84">
        <w:rPr>
          <w:rFonts w:cs="Arial"/>
        </w:rPr>
        <w:t>–</w:t>
      </w:r>
      <w:r w:rsidRPr="001C7DDD">
        <w:rPr>
          <w:rFonts w:cs="Arial"/>
        </w:rPr>
        <w:t xml:space="preserve">7.4 g/day, equivalent to </w:t>
      </w:r>
      <w:r w:rsidR="00A21146">
        <w:rPr>
          <w:rFonts w:cs="Arial"/>
        </w:rPr>
        <w:t>1</w:t>
      </w:r>
      <w:r w:rsidR="00675B84">
        <w:rPr>
          <w:rFonts w:cs="Arial"/>
        </w:rPr>
        <w:t>–</w:t>
      </w:r>
      <w:r w:rsidRPr="001C7DDD">
        <w:rPr>
          <w:rFonts w:cs="Arial"/>
        </w:rPr>
        <w:t xml:space="preserve">4 pieces or tabs of chewing gum </w:t>
      </w:r>
      <w:r w:rsidR="008F4820">
        <w:rPr>
          <w:rFonts w:cs="Arial"/>
        </w:rPr>
        <w:t>assuming</w:t>
      </w:r>
      <w:r w:rsidR="00B514D9">
        <w:rPr>
          <w:rFonts w:cs="Arial"/>
        </w:rPr>
        <w:t xml:space="preserve"> 1 serve is </w:t>
      </w:r>
      <w:r w:rsidR="008F4820">
        <w:rPr>
          <w:rFonts w:cs="Arial"/>
        </w:rPr>
        <w:t>~</w:t>
      </w:r>
      <w:r w:rsidR="00B514D9">
        <w:rPr>
          <w:rFonts w:cs="Arial"/>
        </w:rPr>
        <w:t xml:space="preserve">2 g </w:t>
      </w:r>
      <w:r w:rsidRPr="001C7DDD">
        <w:rPr>
          <w:rFonts w:cs="Arial"/>
        </w:rPr>
        <w:t xml:space="preserve">(for more details on the consumption data for each country and population group see </w:t>
      </w:r>
      <w:r w:rsidR="008F4820" w:rsidRPr="001C7DDD">
        <w:rPr>
          <w:rFonts w:cs="Arial"/>
        </w:rPr>
        <w:fldChar w:fldCharType="begin"/>
      </w:r>
      <w:r w:rsidR="008F4820" w:rsidRPr="001C7DDD">
        <w:rPr>
          <w:rFonts w:cs="Arial"/>
        </w:rPr>
        <w:instrText xml:space="preserve"> REF _Ref406590976 \h </w:instrText>
      </w:r>
      <w:r w:rsidR="008F4820">
        <w:rPr>
          <w:rFonts w:cs="Arial"/>
        </w:rPr>
        <w:instrText xml:space="preserve"> \* MERGEFORMAT </w:instrText>
      </w:r>
      <w:r w:rsidR="008F4820" w:rsidRPr="001C7DDD">
        <w:rPr>
          <w:rFonts w:cs="Arial"/>
        </w:rPr>
      </w:r>
      <w:r w:rsidR="008F4820" w:rsidRPr="001C7DDD">
        <w:rPr>
          <w:rFonts w:cs="Arial"/>
        </w:rPr>
        <w:fldChar w:fldCharType="separate"/>
      </w:r>
      <w:r w:rsidR="008F4820">
        <w:t>Table A2.2</w:t>
      </w:r>
      <w:r w:rsidR="008F4820" w:rsidRPr="001C7DDD">
        <w:rPr>
          <w:rFonts w:cs="Arial"/>
        </w:rPr>
        <w:fldChar w:fldCharType="end"/>
      </w:r>
      <w:r w:rsidR="008F4820">
        <w:rPr>
          <w:rFonts w:cs="Arial"/>
        </w:rPr>
        <w:t xml:space="preserve"> </w:t>
      </w:r>
      <w:r w:rsidRPr="001C7DDD">
        <w:rPr>
          <w:rFonts w:cs="Arial"/>
        </w:rPr>
        <w:t xml:space="preserve">in </w:t>
      </w:r>
      <w:r w:rsidRPr="001C7DDD">
        <w:rPr>
          <w:rFonts w:cs="Arial"/>
        </w:rPr>
        <w:fldChar w:fldCharType="begin"/>
      </w:r>
      <w:r w:rsidRPr="001C7DDD">
        <w:rPr>
          <w:rFonts w:cs="Arial"/>
        </w:rPr>
        <w:instrText xml:space="preserve"> REF _Ref406572148 \h </w:instrText>
      </w:r>
      <w:r w:rsidR="001C7DDD">
        <w:rPr>
          <w:rFonts w:cs="Arial"/>
        </w:rPr>
        <w:instrText xml:space="preserve"> \* MERGEFORMAT </w:instrText>
      </w:r>
      <w:r w:rsidRPr="001C7DDD">
        <w:rPr>
          <w:rFonts w:cs="Arial"/>
        </w:rPr>
      </w:r>
      <w:r w:rsidRPr="001C7DDD">
        <w:rPr>
          <w:rFonts w:cs="Arial"/>
        </w:rPr>
        <w:fldChar w:fldCharType="separate"/>
      </w:r>
      <w:r w:rsidR="00B514D9">
        <w:t xml:space="preserve">Appendix </w:t>
      </w:r>
      <w:r w:rsidR="00B514D9">
        <w:rPr>
          <w:noProof/>
        </w:rPr>
        <w:t>2</w:t>
      </w:r>
      <w:r w:rsidRPr="001C7DDD">
        <w:rPr>
          <w:rFonts w:cs="Arial"/>
        </w:rPr>
        <w:fldChar w:fldCharType="end"/>
      </w:r>
      <w:r w:rsidRPr="001C7DDD">
        <w:rPr>
          <w:rFonts w:cs="Arial"/>
        </w:rPr>
        <w:t>).</w:t>
      </w:r>
    </w:p>
    <w:p w14:paraId="6E0D824B" w14:textId="77777777" w:rsidR="0031334C" w:rsidRPr="001C7DDD" w:rsidRDefault="00D274D0" w:rsidP="002A1327">
      <w:pPr>
        <w:pStyle w:val="Heading3"/>
      </w:pPr>
      <w:bookmarkStart w:id="46" w:name="_Toc427684475"/>
      <w:r>
        <w:t>4.1.4</w:t>
      </w:r>
      <w:r>
        <w:tab/>
      </w:r>
      <w:r w:rsidR="00407CE4">
        <w:t>C</w:t>
      </w:r>
      <w:r w:rsidR="0031334C" w:rsidRPr="001C7DDD">
        <w:t>oncentration</w:t>
      </w:r>
      <w:r w:rsidR="00407CE4">
        <w:t xml:space="preserve"> data for</w:t>
      </w:r>
      <w:r w:rsidR="0031334C" w:rsidRPr="001C7DDD">
        <w:t xml:space="preserve"> </w:t>
      </w:r>
      <w:r w:rsidR="00C27F2F">
        <w:t>Ace K</w:t>
      </w:r>
      <w:bookmarkEnd w:id="46"/>
    </w:p>
    <w:p w14:paraId="6E0D824D" w14:textId="178EE883" w:rsidR="0031334C" w:rsidRPr="001C7DDD" w:rsidRDefault="00C27F2F" w:rsidP="0031334C">
      <w:pPr>
        <w:rPr>
          <w:rFonts w:cs="Arial"/>
        </w:rPr>
      </w:pPr>
      <w:r>
        <w:rPr>
          <w:rFonts w:cs="Arial"/>
        </w:rPr>
        <w:t>Ace K</w:t>
      </w:r>
      <w:r w:rsidR="0031334C" w:rsidRPr="001C7DDD">
        <w:rPr>
          <w:rFonts w:cs="Arial"/>
        </w:rPr>
        <w:t xml:space="preserve"> is permitted in a wide range of foods and beverages at specified </w:t>
      </w:r>
      <w:r w:rsidR="00C71CFE">
        <w:rPr>
          <w:rFonts w:cs="Arial"/>
        </w:rPr>
        <w:t>MPLs,</w:t>
      </w:r>
      <w:r w:rsidR="00C71CFE" w:rsidRPr="001C7DDD">
        <w:rPr>
          <w:rFonts w:cs="Arial"/>
        </w:rPr>
        <w:t xml:space="preserve"> </w:t>
      </w:r>
      <w:r w:rsidR="0031334C" w:rsidRPr="001C7DDD">
        <w:rPr>
          <w:rFonts w:cs="Arial"/>
        </w:rPr>
        <w:t xml:space="preserve">except </w:t>
      </w:r>
      <w:r w:rsidR="00C71CFE">
        <w:rPr>
          <w:rFonts w:cs="Arial"/>
        </w:rPr>
        <w:t>for</w:t>
      </w:r>
      <w:r w:rsidR="00C71CFE" w:rsidRPr="001C7DDD">
        <w:rPr>
          <w:rFonts w:cs="Arial"/>
        </w:rPr>
        <w:t xml:space="preserve"> </w:t>
      </w:r>
      <w:r w:rsidR="0031334C" w:rsidRPr="001C7DDD">
        <w:rPr>
          <w:rFonts w:cs="Arial"/>
        </w:rPr>
        <w:t xml:space="preserve">table top sweeteners </w:t>
      </w:r>
      <w:r w:rsidR="00C71CFE">
        <w:rPr>
          <w:rFonts w:cs="Arial"/>
        </w:rPr>
        <w:t xml:space="preserve">which are permitted </w:t>
      </w:r>
      <w:r w:rsidR="0031334C" w:rsidRPr="001C7DDD">
        <w:rPr>
          <w:rFonts w:cs="Arial"/>
        </w:rPr>
        <w:t>at</w:t>
      </w:r>
      <w:r w:rsidR="00AD6F0F">
        <w:rPr>
          <w:rFonts w:cs="Arial"/>
        </w:rPr>
        <w:t xml:space="preserve"> </w:t>
      </w:r>
      <w:r w:rsidR="00C71CFE">
        <w:rPr>
          <w:rFonts w:cs="Arial"/>
        </w:rPr>
        <w:t xml:space="preserve">a level determined by </w:t>
      </w:r>
      <w:r w:rsidR="001C1234">
        <w:rPr>
          <w:rFonts w:cs="Arial"/>
        </w:rPr>
        <w:t>G</w:t>
      </w:r>
      <w:r w:rsidR="00AD6F0F">
        <w:rPr>
          <w:rFonts w:cs="Arial"/>
        </w:rPr>
        <w:t xml:space="preserve">ood </w:t>
      </w:r>
      <w:r w:rsidR="001C1234">
        <w:rPr>
          <w:rFonts w:cs="Arial"/>
        </w:rPr>
        <w:t>M</w:t>
      </w:r>
      <w:r w:rsidR="00AD6F0F">
        <w:rPr>
          <w:rFonts w:cs="Arial"/>
        </w:rPr>
        <w:t xml:space="preserve">anufacturing </w:t>
      </w:r>
      <w:r w:rsidR="001C1234">
        <w:rPr>
          <w:rFonts w:cs="Arial"/>
        </w:rPr>
        <w:t>P</w:t>
      </w:r>
      <w:r w:rsidR="00AD6F0F">
        <w:rPr>
          <w:rFonts w:cs="Arial"/>
        </w:rPr>
        <w:t>ractice</w:t>
      </w:r>
      <w:r w:rsidR="0031334C" w:rsidRPr="001C7DDD">
        <w:rPr>
          <w:rFonts w:cs="Arial"/>
        </w:rPr>
        <w:t xml:space="preserve"> </w:t>
      </w:r>
      <w:r w:rsidR="00AD6F0F">
        <w:rPr>
          <w:rFonts w:cs="Arial"/>
        </w:rPr>
        <w:t>(</w:t>
      </w:r>
      <w:r w:rsidR="0031334C" w:rsidRPr="001C7DDD">
        <w:rPr>
          <w:rFonts w:cs="Arial"/>
        </w:rPr>
        <w:t>GMP</w:t>
      </w:r>
      <w:r w:rsidR="00AD6F0F">
        <w:rPr>
          <w:rFonts w:cs="Arial"/>
        </w:rPr>
        <w:t>)</w:t>
      </w:r>
      <w:r w:rsidR="0031334C" w:rsidRPr="001C7DDD">
        <w:rPr>
          <w:rFonts w:cs="Arial"/>
        </w:rPr>
        <w:t xml:space="preserve">. </w:t>
      </w:r>
      <w:r w:rsidR="00977F11">
        <w:rPr>
          <w:rFonts w:cs="Arial"/>
        </w:rPr>
        <w:t>Ace K</w:t>
      </w:r>
      <w:r w:rsidR="00977F11" w:rsidRPr="001C7DDD">
        <w:rPr>
          <w:rFonts w:cs="Arial"/>
        </w:rPr>
        <w:t xml:space="preserve"> is often used in combination with other sweeteners to achieve the required sweetener profile for the chosen product</w:t>
      </w:r>
      <w:r w:rsidR="00977F11">
        <w:rPr>
          <w:rFonts w:cs="Arial"/>
        </w:rPr>
        <w:t>, If</w:t>
      </w:r>
      <w:r w:rsidR="00977F11" w:rsidRPr="001C7DDD">
        <w:rPr>
          <w:rFonts w:cs="Arial"/>
        </w:rPr>
        <w:t xml:space="preserve"> used in combination with other sweeteners and complying with the Standard 1.3.1, clause 6, </w:t>
      </w:r>
      <w:r w:rsidR="00977F11">
        <w:rPr>
          <w:rFonts w:cs="Arial"/>
        </w:rPr>
        <w:t>Ace K</w:t>
      </w:r>
      <w:r w:rsidR="00977F11" w:rsidRPr="001C7DDD">
        <w:rPr>
          <w:rFonts w:cs="Arial"/>
        </w:rPr>
        <w:t xml:space="preserve"> may not be used at the MPL in the code</w:t>
      </w:r>
      <w:r w:rsidR="00977F11">
        <w:rPr>
          <w:rFonts w:cs="Arial"/>
        </w:rPr>
        <w:t>. Therefore, u</w:t>
      </w:r>
      <w:r w:rsidR="0031334C" w:rsidRPr="001C7DDD">
        <w:rPr>
          <w:rFonts w:cs="Arial"/>
        </w:rPr>
        <w:t xml:space="preserve">ndertaking a calculation to determine a realistic estimate of dietary exposure to </w:t>
      </w:r>
      <w:r>
        <w:rPr>
          <w:rFonts w:cs="Arial"/>
        </w:rPr>
        <w:t>Ace K</w:t>
      </w:r>
      <w:r w:rsidR="0031334C" w:rsidRPr="001C7DDD">
        <w:rPr>
          <w:rFonts w:cs="Arial"/>
        </w:rPr>
        <w:t xml:space="preserve">, including all </w:t>
      </w:r>
      <w:r>
        <w:rPr>
          <w:rFonts w:cs="Arial"/>
        </w:rPr>
        <w:t>Ace K</w:t>
      </w:r>
      <w:r w:rsidR="0031334C" w:rsidRPr="001C7DDD">
        <w:rPr>
          <w:rFonts w:cs="Arial"/>
        </w:rPr>
        <w:t xml:space="preserve"> permissions in </w:t>
      </w:r>
      <w:r w:rsidR="00D274D0" w:rsidRPr="002A300D">
        <w:rPr>
          <w:rFonts w:cs="Arial"/>
        </w:rPr>
        <w:t>Schedule 15</w:t>
      </w:r>
      <w:r w:rsidR="00D274D0">
        <w:rPr>
          <w:rFonts w:cs="Arial"/>
        </w:rPr>
        <w:t>,</w:t>
      </w:r>
      <w:r w:rsidR="0031334C" w:rsidRPr="001C7DDD">
        <w:rPr>
          <w:rFonts w:cs="Arial"/>
        </w:rPr>
        <w:t xml:space="preserve"> requires </w:t>
      </w:r>
      <w:r w:rsidR="002A300D">
        <w:rPr>
          <w:rFonts w:cs="Arial"/>
        </w:rPr>
        <w:t xml:space="preserve">current </w:t>
      </w:r>
      <w:r w:rsidR="0031334C" w:rsidRPr="001C7DDD">
        <w:rPr>
          <w:rFonts w:cs="Arial"/>
        </w:rPr>
        <w:t>industry use level data and market share data.</w:t>
      </w:r>
      <w:r w:rsidR="006A7FBD">
        <w:rPr>
          <w:rFonts w:cs="Arial"/>
        </w:rPr>
        <w:t xml:space="preserve"> </w:t>
      </w:r>
      <w:r w:rsidR="00407CE4">
        <w:rPr>
          <w:rFonts w:cs="Arial"/>
        </w:rPr>
        <w:t>N</w:t>
      </w:r>
      <w:r w:rsidR="00255F9E">
        <w:rPr>
          <w:rFonts w:cs="Arial"/>
        </w:rPr>
        <w:t xml:space="preserve">o new information on the use of Ace-K in other foods was provided in the </w:t>
      </w:r>
      <w:r w:rsidR="00407CE4">
        <w:rPr>
          <w:rFonts w:cs="Arial"/>
        </w:rPr>
        <w:t>A</w:t>
      </w:r>
      <w:r w:rsidR="00255F9E">
        <w:rPr>
          <w:rFonts w:cs="Arial"/>
        </w:rPr>
        <w:t>pplication</w:t>
      </w:r>
      <w:r w:rsidR="00977F11">
        <w:rPr>
          <w:rFonts w:cs="Arial"/>
        </w:rPr>
        <w:t xml:space="preserve">. </w:t>
      </w:r>
      <w:r w:rsidR="003617BA">
        <w:rPr>
          <w:rFonts w:cs="Arial"/>
        </w:rPr>
        <w:t>The Ace-K dietary exposure estimates from the 2004 sweetener survey ( section 4.2.2) were used as the baseline estimated exposure for this assessment because i</w:t>
      </w:r>
      <w:r w:rsidR="0031334C" w:rsidRPr="001C7DDD">
        <w:rPr>
          <w:rFonts w:cs="Arial"/>
        </w:rPr>
        <w:t>ndustry use levels</w:t>
      </w:r>
      <w:r w:rsidR="00B80510">
        <w:rPr>
          <w:rFonts w:cs="Arial"/>
        </w:rPr>
        <w:t xml:space="preserve"> for intense sweeteners </w:t>
      </w:r>
      <w:r w:rsidR="0031334C" w:rsidRPr="001C7DDD">
        <w:rPr>
          <w:rFonts w:cs="Arial"/>
        </w:rPr>
        <w:t xml:space="preserve">formed the basis of </w:t>
      </w:r>
      <w:r w:rsidR="003617BA">
        <w:rPr>
          <w:rFonts w:cs="Arial"/>
        </w:rPr>
        <w:t xml:space="preserve">reported </w:t>
      </w:r>
      <w:r w:rsidR="0031334C" w:rsidRPr="001C7DDD">
        <w:rPr>
          <w:rFonts w:cs="Arial"/>
        </w:rPr>
        <w:t>dietary exposure</w:t>
      </w:r>
      <w:r w:rsidR="003617BA">
        <w:rPr>
          <w:rFonts w:cs="Arial"/>
        </w:rPr>
        <w:t xml:space="preserve"> estimates, making it the best available estimate for th</w:t>
      </w:r>
      <w:r w:rsidR="006264B7">
        <w:rPr>
          <w:rFonts w:cs="Arial"/>
        </w:rPr>
        <w:t>is</w:t>
      </w:r>
      <w:r w:rsidR="003617BA">
        <w:rPr>
          <w:rFonts w:cs="Arial"/>
        </w:rPr>
        <w:t xml:space="preserve"> </w:t>
      </w:r>
      <w:r w:rsidR="006264B7">
        <w:rPr>
          <w:rFonts w:cs="Arial"/>
        </w:rPr>
        <w:t>purpose.</w:t>
      </w:r>
      <w:r w:rsidR="003617BA">
        <w:rPr>
          <w:rFonts w:cs="Arial"/>
        </w:rPr>
        <w:t xml:space="preserve"> </w:t>
      </w:r>
    </w:p>
    <w:p w14:paraId="6E0D824E" w14:textId="77777777" w:rsidR="00F223EF" w:rsidRPr="001C7DDD" w:rsidRDefault="00D274D0" w:rsidP="002A1327">
      <w:pPr>
        <w:pStyle w:val="Heading3"/>
      </w:pPr>
      <w:bookmarkStart w:id="47" w:name="_Toc427684476"/>
      <w:r>
        <w:t>4.1.5</w:t>
      </w:r>
      <w:r>
        <w:tab/>
      </w:r>
      <w:bookmarkStart w:id="48" w:name="_Toc426468480"/>
      <w:bookmarkStart w:id="49" w:name="_Toc426475580"/>
      <w:bookmarkStart w:id="50" w:name="_Toc269201841"/>
      <w:bookmarkStart w:id="51" w:name="_Toc360028619"/>
      <w:bookmarkEnd w:id="48"/>
      <w:bookmarkEnd w:id="49"/>
      <w:r w:rsidR="00F223EF" w:rsidRPr="001C7DDD">
        <w:t>Assumptions and limitations of the dietary exposure assessment</w:t>
      </w:r>
      <w:bookmarkEnd w:id="47"/>
      <w:bookmarkEnd w:id="50"/>
      <w:bookmarkEnd w:id="51"/>
      <w:r w:rsidR="00F223EF" w:rsidRPr="001C7DDD">
        <w:t xml:space="preserve"> </w:t>
      </w:r>
    </w:p>
    <w:p w14:paraId="6E0D824F" w14:textId="77777777" w:rsidR="002C4174" w:rsidRPr="001C7DDD" w:rsidRDefault="002C4174" w:rsidP="002C4174">
      <w:r w:rsidRPr="001C7DDD">
        <w:t>The aim of the dietary exposure assessment was to make a</w:t>
      </w:r>
      <w:r w:rsidR="007C1999">
        <w:t>s</w:t>
      </w:r>
      <w:r w:rsidRPr="001C7DDD">
        <w:t xml:space="preserve"> realistic </w:t>
      </w:r>
      <w:r w:rsidR="00C40114">
        <w:t xml:space="preserve">an </w:t>
      </w:r>
      <w:r w:rsidRPr="001C7DDD">
        <w:t xml:space="preserve">estimation of dietary exposure to </w:t>
      </w:r>
      <w:r w:rsidR="00C27F2F">
        <w:rPr>
          <w:rFonts w:cs="Arial"/>
        </w:rPr>
        <w:t>Ace K</w:t>
      </w:r>
      <w:r w:rsidRPr="001C7DDD">
        <w:t xml:space="preserve"> as possible. However, where significant uncertainties in the data existed, conservative assumptions were generally used to ensure that the estimated dietary exposure was not an underestimate of exposure</w:t>
      </w:r>
      <w:r w:rsidR="00F279BE">
        <w:t>, for example, all intense</w:t>
      </w:r>
      <w:r w:rsidR="00AD0FC6">
        <w:t>l</w:t>
      </w:r>
      <w:r w:rsidR="00F279BE">
        <w:t xml:space="preserve">y sweetened chewing gum was assumed to contain Ace K </w:t>
      </w:r>
      <w:r w:rsidR="00E148BF">
        <w:t xml:space="preserve">at the </w:t>
      </w:r>
      <w:r w:rsidR="00D8719D">
        <w:t>proposed</w:t>
      </w:r>
      <w:r w:rsidR="0073734C">
        <w:t xml:space="preserve"> maximum</w:t>
      </w:r>
      <w:r w:rsidR="00D8719D">
        <w:t xml:space="preserve"> </w:t>
      </w:r>
      <w:r w:rsidR="00E148BF">
        <w:t>level</w:t>
      </w:r>
      <w:r w:rsidR="0073734C">
        <w:t>,</w:t>
      </w:r>
      <w:r w:rsidR="00D8719D">
        <w:t xml:space="preserve"> </w:t>
      </w:r>
      <w:r w:rsidR="00D8719D" w:rsidRPr="00D25CC3">
        <w:t xml:space="preserve">while </w:t>
      </w:r>
      <w:r w:rsidR="003617BA">
        <w:t xml:space="preserve">in reality </w:t>
      </w:r>
      <w:r w:rsidR="0073734C">
        <w:t xml:space="preserve">Ace K </w:t>
      </w:r>
      <w:r w:rsidR="003617BA">
        <w:t>may be</w:t>
      </w:r>
      <w:r w:rsidR="0073734C">
        <w:t xml:space="preserve"> used </w:t>
      </w:r>
      <w:r w:rsidR="003617BA">
        <w:t xml:space="preserve">at lower levels </w:t>
      </w:r>
      <w:r w:rsidR="0073734C">
        <w:t>in combination with other sweet</w:t>
      </w:r>
      <w:r w:rsidR="003617BA">
        <w:t>e</w:t>
      </w:r>
      <w:r w:rsidR="0073734C">
        <w:t>ners</w:t>
      </w:r>
      <w:r w:rsidR="003617BA">
        <w:t>.</w:t>
      </w:r>
      <w:r w:rsidR="0073734C">
        <w:t xml:space="preserve"> </w:t>
      </w:r>
    </w:p>
    <w:p w14:paraId="6E0D8250" w14:textId="77777777" w:rsidR="002C4174" w:rsidRPr="001C7DDD" w:rsidRDefault="002C4174" w:rsidP="002C4174"/>
    <w:p w14:paraId="6E0D8251" w14:textId="77777777" w:rsidR="002C4174" w:rsidRDefault="002C4174" w:rsidP="002C4174">
      <w:pPr>
        <w:rPr>
          <w:szCs w:val="22"/>
        </w:rPr>
      </w:pPr>
      <w:r w:rsidRPr="001C7DDD">
        <w:t xml:space="preserve">In addition to the specific assumptions made in relation to this dietary exposure assessment, there are a number of limitations associated with the nutrition surveys from which the food consumption data used for the assessment are based. A discussion of these limitations is included in Section 6 of the </w:t>
      </w:r>
      <w:r w:rsidRPr="001C7DDD">
        <w:rPr>
          <w:i/>
          <w:szCs w:val="22"/>
        </w:rPr>
        <w:t>Principles and Practices of Dietary Exposure Assessment for Food Regulatory Purposes</w:t>
      </w:r>
      <w:r w:rsidRPr="001C7DDD">
        <w:rPr>
          <w:szCs w:val="22"/>
        </w:rPr>
        <w:t xml:space="preserve"> (FSANZ 2009).</w:t>
      </w:r>
    </w:p>
    <w:p w14:paraId="6E0D8252" w14:textId="77777777" w:rsidR="00F223EF" w:rsidRPr="00A83B3C" w:rsidRDefault="00D274D0" w:rsidP="00346D6F">
      <w:pPr>
        <w:pStyle w:val="Heading2"/>
      </w:pPr>
      <w:bookmarkStart w:id="52" w:name="_Toc360028620"/>
      <w:bookmarkStart w:id="53" w:name="_Toc427684477"/>
      <w:bookmarkStart w:id="54" w:name="_Toc269201842"/>
      <w:r>
        <w:t>4.2</w:t>
      </w:r>
      <w:r>
        <w:tab/>
      </w:r>
      <w:r w:rsidR="00F223EF">
        <w:t>Estima</w:t>
      </w:r>
      <w:r w:rsidR="00F223EF" w:rsidRPr="00A83B3C">
        <w:t>ted population dietary exposure</w:t>
      </w:r>
      <w:r w:rsidR="00F223EF">
        <w:t>s</w:t>
      </w:r>
      <w:r w:rsidR="00F223EF" w:rsidRPr="00A83B3C">
        <w:t xml:space="preserve"> to </w:t>
      </w:r>
      <w:bookmarkEnd w:id="52"/>
      <w:r w:rsidR="00C27F2F">
        <w:t>Ace K</w:t>
      </w:r>
      <w:bookmarkEnd w:id="53"/>
    </w:p>
    <w:bookmarkEnd w:id="54"/>
    <w:p w14:paraId="6E0D8253" w14:textId="77777777" w:rsidR="00C3680A" w:rsidRPr="003B5AB6" w:rsidRDefault="00D023E2" w:rsidP="00C3680A">
      <w:pPr>
        <w:rPr>
          <w:rFonts w:cs="Arial"/>
        </w:rPr>
      </w:pPr>
      <w:r w:rsidRPr="00F633BB">
        <w:rPr>
          <w:rFonts w:cs="Arial"/>
        </w:rPr>
        <w:t xml:space="preserve">The estimated dietary exposures to </w:t>
      </w:r>
      <w:r w:rsidR="00C27F2F">
        <w:rPr>
          <w:rFonts w:cs="Arial"/>
        </w:rPr>
        <w:t>Ace K</w:t>
      </w:r>
      <w:r w:rsidRPr="00F633BB">
        <w:rPr>
          <w:rFonts w:cs="Arial"/>
        </w:rPr>
        <w:t xml:space="preserve"> were calculated for ‘consumers’ only</w:t>
      </w:r>
      <w:r w:rsidRPr="00F633BB">
        <w:rPr>
          <w:rStyle w:val="FootnoteReference"/>
          <w:rFonts w:cs="Arial"/>
        </w:rPr>
        <w:footnoteReference w:id="3"/>
      </w:r>
      <w:r w:rsidR="00081F57">
        <w:rPr>
          <w:rFonts w:cs="Arial"/>
        </w:rPr>
        <w:t>.</w:t>
      </w:r>
      <w:r w:rsidRPr="00F633BB">
        <w:rPr>
          <w:rFonts w:cs="Arial"/>
        </w:rPr>
        <w:t xml:space="preserve"> </w:t>
      </w:r>
      <w:r w:rsidR="00081F57">
        <w:t>M</w:t>
      </w:r>
      <w:r w:rsidRPr="00BB6B83">
        <w:t>ean and 90</w:t>
      </w:r>
      <w:r w:rsidRPr="00AB7FB0">
        <w:rPr>
          <w:vertAlign w:val="superscript"/>
        </w:rPr>
        <w:t>th</w:t>
      </w:r>
      <w:r w:rsidRPr="00BB6B83">
        <w:t xml:space="preserve"> percentile dietary exposures to </w:t>
      </w:r>
      <w:r w:rsidR="00C27F2F">
        <w:t>Ace K</w:t>
      </w:r>
      <w:r w:rsidR="00081F57">
        <w:t xml:space="preserve">, </w:t>
      </w:r>
      <w:r w:rsidRPr="00BB6B83">
        <w:t xml:space="preserve">as a percentage of the ADI, </w:t>
      </w:r>
      <w:r w:rsidR="00081F57">
        <w:t>were</w:t>
      </w:r>
      <w:r w:rsidR="00081F57" w:rsidRPr="00BB6B83">
        <w:t xml:space="preserve"> </w:t>
      </w:r>
      <w:r w:rsidRPr="00BB6B83">
        <w:t>derived from each individual’s ranked daily exposures.</w:t>
      </w:r>
    </w:p>
    <w:p w14:paraId="6E0D8254" w14:textId="77777777" w:rsidR="00F223EF" w:rsidRPr="003B5AB6" w:rsidRDefault="0018727D" w:rsidP="002A1327">
      <w:pPr>
        <w:pStyle w:val="Heading3"/>
      </w:pPr>
      <w:bookmarkStart w:id="55" w:name="_Toc360028629"/>
      <w:bookmarkStart w:id="56" w:name="_Toc427684478"/>
      <w:r>
        <w:lastRenderedPageBreak/>
        <w:t>4.2.1</w:t>
      </w:r>
      <w:r>
        <w:tab/>
      </w:r>
      <w:r w:rsidR="00F223EF" w:rsidRPr="003B5AB6">
        <w:t>Estimated dietary exposure</w:t>
      </w:r>
      <w:bookmarkEnd w:id="55"/>
      <w:r w:rsidR="00F223EF" w:rsidRPr="003B5AB6">
        <w:t xml:space="preserve">s </w:t>
      </w:r>
      <w:r w:rsidR="008D3C31">
        <w:t xml:space="preserve">for </w:t>
      </w:r>
      <w:r w:rsidR="006906BE">
        <w:t xml:space="preserve">consumers of </w:t>
      </w:r>
      <w:r w:rsidR="009867BF" w:rsidRPr="00AE6D14">
        <w:t>intensely sweetened chewing gum</w:t>
      </w:r>
      <w:bookmarkEnd w:id="56"/>
      <w:r w:rsidR="006906BE">
        <w:t xml:space="preserve"> </w:t>
      </w:r>
    </w:p>
    <w:p w14:paraId="6E0D8255" w14:textId="77777777" w:rsidR="003A43CB" w:rsidRDefault="00C3680A" w:rsidP="00C3680A">
      <w:pPr>
        <w:rPr>
          <w:rFonts w:cs="Arial"/>
        </w:rPr>
      </w:pPr>
      <w:r w:rsidRPr="003B5AB6">
        <w:rPr>
          <w:rFonts w:cs="Arial"/>
        </w:rPr>
        <w:t>The estimated dietary exposures</w:t>
      </w:r>
      <w:r w:rsidR="000F00EF">
        <w:rPr>
          <w:rFonts w:cs="Arial"/>
        </w:rPr>
        <w:t xml:space="preserve"> to Ace K from intensely sweetened chewing gum only</w:t>
      </w:r>
      <w:r w:rsidRPr="003B5AB6">
        <w:rPr>
          <w:rFonts w:cs="Arial"/>
        </w:rPr>
        <w:t xml:space="preserve">, expressed as a percentage of the ADI, for all the population groups </w:t>
      </w:r>
      <w:r>
        <w:rPr>
          <w:rFonts w:cs="Arial"/>
        </w:rPr>
        <w:t>investigated</w:t>
      </w:r>
      <w:r w:rsidRPr="003B5AB6">
        <w:rPr>
          <w:rFonts w:cs="Arial"/>
        </w:rPr>
        <w:t xml:space="preserve"> were </w:t>
      </w:r>
      <w:r w:rsidR="00DF193F">
        <w:rPr>
          <w:rFonts w:cs="Arial"/>
        </w:rPr>
        <w:t xml:space="preserve">well </w:t>
      </w:r>
      <w:r w:rsidRPr="003B5AB6">
        <w:rPr>
          <w:rFonts w:cs="Arial"/>
        </w:rPr>
        <w:t>below the ADI</w:t>
      </w:r>
      <w:r>
        <w:rPr>
          <w:rFonts w:cs="Arial"/>
        </w:rPr>
        <w:t xml:space="preserve"> for both the </w:t>
      </w:r>
      <w:r w:rsidR="00EB1159" w:rsidRPr="00EB1159">
        <w:rPr>
          <w:rFonts w:cs="Arial"/>
          <w:i/>
        </w:rPr>
        <w:t>Baseline</w:t>
      </w:r>
      <w:r>
        <w:rPr>
          <w:rFonts w:cs="Arial"/>
        </w:rPr>
        <w:t xml:space="preserve"> and </w:t>
      </w:r>
      <w:r w:rsidR="00282740">
        <w:rPr>
          <w:rFonts w:cs="Arial"/>
        </w:rPr>
        <w:t>increased MPL</w:t>
      </w:r>
      <w:r>
        <w:rPr>
          <w:rFonts w:cs="Arial"/>
        </w:rPr>
        <w:t xml:space="preserve"> </w:t>
      </w:r>
      <w:r w:rsidR="00EB1159" w:rsidRPr="00EB1159">
        <w:rPr>
          <w:rFonts w:cs="Arial"/>
          <w:i/>
        </w:rPr>
        <w:t>Scenario</w:t>
      </w:r>
      <w:r>
        <w:rPr>
          <w:rFonts w:cs="Arial"/>
        </w:rPr>
        <w:t xml:space="preserve">. </w:t>
      </w:r>
    </w:p>
    <w:p w14:paraId="6E0D8256" w14:textId="77777777" w:rsidR="009867BF" w:rsidRDefault="009867BF" w:rsidP="00C3680A">
      <w:pPr>
        <w:rPr>
          <w:rFonts w:cs="Arial"/>
        </w:rPr>
      </w:pPr>
    </w:p>
    <w:p w14:paraId="6E0D8257" w14:textId="77777777" w:rsidR="0001167A" w:rsidRDefault="009867BF" w:rsidP="00C529C0">
      <w:r>
        <w:t>Estimated m</w:t>
      </w:r>
      <w:r w:rsidR="00624EEC">
        <w:t xml:space="preserve">ean dietary exposures for </w:t>
      </w:r>
      <w:r w:rsidR="00C27F2F">
        <w:t>Ace K</w:t>
      </w:r>
      <w:r>
        <w:t xml:space="preserve"> </w:t>
      </w:r>
      <w:r w:rsidR="00624EEC">
        <w:t xml:space="preserve">were </w:t>
      </w:r>
      <w:r>
        <w:t>at or below</w:t>
      </w:r>
      <w:r w:rsidR="00C3680A" w:rsidRPr="003B5AB6">
        <w:t xml:space="preserve"> </w:t>
      </w:r>
      <w:r>
        <w:t>2</w:t>
      </w:r>
      <w:r w:rsidR="00C3680A" w:rsidRPr="003B5AB6">
        <w:t xml:space="preserve">% </w:t>
      </w:r>
      <w:r w:rsidR="0074636B">
        <w:t xml:space="preserve">of the </w:t>
      </w:r>
      <w:r>
        <w:t xml:space="preserve">ADI for the </w:t>
      </w:r>
      <w:r w:rsidR="00EB1159" w:rsidRPr="00D12BB3">
        <w:rPr>
          <w:i/>
        </w:rPr>
        <w:t>B</w:t>
      </w:r>
      <w:r w:rsidRPr="00D12BB3">
        <w:rPr>
          <w:i/>
        </w:rPr>
        <w:t>aseline</w:t>
      </w:r>
      <w:r>
        <w:t xml:space="preserve"> </w:t>
      </w:r>
      <w:r w:rsidR="00624EEC">
        <w:t xml:space="preserve">and </w:t>
      </w:r>
      <w:r>
        <w:t>4</w:t>
      </w:r>
      <w:r w:rsidR="00624EEC" w:rsidRPr="003B5AB6">
        <w:t xml:space="preserve">% </w:t>
      </w:r>
      <w:r w:rsidR="0074636B">
        <w:t xml:space="preserve">of the </w:t>
      </w:r>
      <w:r w:rsidR="00624EEC">
        <w:t xml:space="preserve">ADI </w:t>
      </w:r>
      <w:r>
        <w:t xml:space="preserve">for the </w:t>
      </w:r>
      <w:r w:rsidR="00EB1159" w:rsidRPr="00EB1159">
        <w:rPr>
          <w:i/>
        </w:rPr>
        <w:t>Scenario</w:t>
      </w:r>
      <w:r w:rsidR="00856E6F">
        <w:t xml:space="preserve"> for all population groups assessed</w:t>
      </w:r>
      <w:r>
        <w:t>.</w:t>
      </w:r>
      <w:r w:rsidR="00624EEC">
        <w:t xml:space="preserve"> The</w:t>
      </w:r>
      <w:r w:rsidR="00C3680A">
        <w:t xml:space="preserve"> 90</w:t>
      </w:r>
      <w:r w:rsidR="00C3680A" w:rsidRPr="003B5AB6">
        <w:rPr>
          <w:vertAlign w:val="superscript"/>
        </w:rPr>
        <w:t>th</w:t>
      </w:r>
      <w:r w:rsidR="00C3680A">
        <w:t xml:space="preserve"> percentile dietary exposures </w:t>
      </w:r>
      <w:r w:rsidR="00856E6F">
        <w:t>were</w:t>
      </w:r>
      <w:r w:rsidR="00C3680A">
        <w:t xml:space="preserve"> 1</w:t>
      </w:r>
      <w:r w:rsidR="00863FD5">
        <w:t>–</w:t>
      </w:r>
      <w:r w:rsidR="00856E6F">
        <w:t>6</w:t>
      </w:r>
      <w:r w:rsidR="00C3680A" w:rsidRPr="003B5AB6">
        <w:t>%</w:t>
      </w:r>
      <w:r w:rsidR="0074636B">
        <w:t xml:space="preserve"> of the </w:t>
      </w:r>
      <w:r w:rsidR="00624EEC">
        <w:t>AD</w:t>
      </w:r>
      <w:r w:rsidR="004B4A1B">
        <w:t>I</w:t>
      </w:r>
      <w:r w:rsidR="00856E6F">
        <w:t xml:space="preserve"> at </w:t>
      </w:r>
      <w:r w:rsidR="00EB1159" w:rsidRPr="00EB1159">
        <w:rPr>
          <w:i/>
        </w:rPr>
        <w:t>Baseline</w:t>
      </w:r>
      <w:r w:rsidR="00624EEC">
        <w:t xml:space="preserve"> and 3</w:t>
      </w:r>
      <w:r w:rsidR="00320AC9">
        <w:rPr>
          <w:rFonts w:cs="Arial"/>
        </w:rPr>
        <w:t>–</w:t>
      </w:r>
      <w:r w:rsidR="00863FD5">
        <w:t>1</w:t>
      </w:r>
      <w:r w:rsidR="00624EEC">
        <w:t xml:space="preserve">4% of the ADI for the </w:t>
      </w:r>
      <w:r w:rsidR="00EB1159" w:rsidRPr="00EB1159">
        <w:rPr>
          <w:i/>
        </w:rPr>
        <w:t>Scenario</w:t>
      </w:r>
      <w:r w:rsidR="00856E6F">
        <w:t xml:space="preserve"> for the population </w:t>
      </w:r>
      <w:r w:rsidR="00856E6F" w:rsidRPr="00E93333">
        <w:t>groups assessed</w:t>
      </w:r>
      <w:r w:rsidR="00C3680A" w:rsidRPr="00E93333">
        <w:t xml:space="preserve">. </w:t>
      </w:r>
    </w:p>
    <w:p w14:paraId="6E0D8258" w14:textId="77777777" w:rsidR="0001167A" w:rsidRDefault="0001167A" w:rsidP="00C529C0"/>
    <w:p w14:paraId="6E0D8259" w14:textId="2E00EF07" w:rsidR="00C3680A" w:rsidRDefault="00736702" w:rsidP="00C529C0">
      <w:r w:rsidRPr="00E93333">
        <w:t xml:space="preserve">Based on the </w:t>
      </w:r>
      <w:r w:rsidR="00C529C0" w:rsidRPr="00E93333">
        <w:t>2011 NN</w:t>
      </w:r>
      <w:r w:rsidR="00345A12" w:rsidRPr="00E93333">
        <w:t>PA</w:t>
      </w:r>
      <w:r w:rsidR="00C529C0" w:rsidRPr="00E93333">
        <w:t>S</w:t>
      </w:r>
      <w:r w:rsidRPr="00E93333">
        <w:t>, Australian children aged 2</w:t>
      </w:r>
      <w:r w:rsidR="00320AC9">
        <w:rPr>
          <w:rFonts w:cs="Arial"/>
        </w:rPr>
        <w:t>–</w:t>
      </w:r>
      <w:r w:rsidRPr="00E93333">
        <w:t xml:space="preserve">6 years were not consumers of </w:t>
      </w:r>
      <w:r w:rsidR="00AD0FC6">
        <w:t>either</w:t>
      </w:r>
      <w:r w:rsidR="00AD0FC6" w:rsidRPr="00E93333">
        <w:t xml:space="preserve"> </w:t>
      </w:r>
      <w:r w:rsidRPr="00E93333">
        <w:t xml:space="preserve">sugar sweetened chewing gum </w:t>
      </w:r>
      <w:r w:rsidR="00AD0FC6">
        <w:t>or</w:t>
      </w:r>
      <w:r w:rsidR="00AD0FC6" w:rsidRPr="00E93333">
        <w:t xml:space="preserve"> </w:t>
      </w:r>
      <w:r w:rsidRPr="00E93333">
        <w:t xml:space="preserve">intensely sweetened chewing gum and thus no exposure </w:t>
      </w:r>
      <w:r w:rsidR="00081F57" w:rsidRPr="00E93333">
        <w:t xml:space="preserve">was </w:t>
      </w:r>
      <w:r w:rsidRPr="00E93333">
        <w:t>reported for this group.</w:t>
      </w:r>
      <w:r w:rsidR="00CD780F">
        <w:t xml:space="preserve"> Estimated exposures for 12 years and above were </w:t>
      </w:r>
      <w:r w:rsidR="00AD0FC6">
        <w:t xml:space="preserve">the </w:t>
      </w:r>
      <w:r w:rsidR="00CD780F">
        <w:t xml:space="preserve">same as </w:t>
      </w:r>
      <w:r w:rsidR="00AD0FC6">
        <w:t>for the population aged</w:t>
      </w:r>
      <w:r w:rsidR="00CD780F">
        <w:t xml:space="preserve"> 2 years </w:t>
      </w:r>
      <w:r w:rsidR="00AD0FC6">
        <w:t>and above</w:t>
      </w:r>
      <w:r w:rsidR="00CD780F">
        <w:t xml:space="preserve"> as there were only three consumers for intense sweetened chewing gum below 12 years</w:t>
      </w:r>
      <w:r w:rsidR="0057391B">
        <w:t xml:space="preserve"> of age</w:t>
      </w:r>
      <w:r w:rsidR="00AD0FC6">
        <w:t xml:space="preserve"> (s</w:t>
      </w:r>
      <w:r w:rsidR="00FA7452">
        <w:t>ee</w:t>
      </w:r>
      <w:r w:rsidR="00C3680A">
        <w:t xml:space="preserve"> </w:t>
      </w:r>
      <w:r w:rsidR="00C3680A">
        <w:fldChar w:fldCharType="begin"/>
      </w:r>
      <w:r w:rsidR="00C3680A">
        <w:instrText xml:space="preserve"> REF _Ref406574212 \h </w:instrText>
      </w:r>
      <w:r w:rsidR="00C3680A">
        <w:fldChar w:fldCharType="separate"/>
      </w:r>
      <w:r w:rsidR="00F613E5">
        <w:t xml:space="preserve">Figure </w:t>
      </w:r>
      <w:r w:rsidR="00F613E5">
        <w:rPr>
          <w:noProof/>
        </w:rPr>
        <w:t>4</w:t>
      </w:r>
      <w:r w:rsidR="00F613E5">
        <w:t>.</w:t>
      </w:r>
      <w:r w:rsidR="00F613E5">
        <w:rPr>
          <w:noProof/>
        </w:rPr>
        <w:t>1</w:t>
      </w:r>
      <w:r w:rsidR="00C3680A">
        <w:fldChar w:fldCharType="end"/>
      </w:r>
      <w:r w:rsidR="00C3680A">
        <w:t xml:space="preserve"> and</w:t>
      </w:r>
      <w:r w:rsidR="008A1B0C">
        <w:t xml:space="preserve"> </w:t>
      </w:r>
      <w:r w:rsidR="008D0FC5">
        <w:fldChar w:fldCharType="begin"/>
      </w:r>
      <w:r w:rsidR="008D0FC5">
        <w:instrText xml:space="preserve"> REF _Ref421276360 \h </w:instrText>
      </w:r>
      <w:r w:rsidR="008D0FC5">
        <w:fldChar w:fldCharType="separate"/>
      </w:r>
      <w:r w:rsidR="00B514D9">
        <w:t>Table A2.</w:t>
      </w:r>
      <w:r w:rsidR="008D0FC5">
        <w:fldChar w:fldCharType="end"/>
      </w:r>
      <w:r w:rsidR="00AD0FC6">
        <w:t>3</w:t>
      </w:r>
      <w:r w:rsidR="00C3680A">
        <w:t xml:space="preserve"> in </w:t>
      </w:r>
      <w:r w:rsidR="00C3680A">
        <w:fldChar w:fldCharType="begin"/>
      </w:r>
      <w:r w:rsidR="00C3680A">
        <w:instrText xml:space="preserve"> REF _Ref406572148 \h </w:instrText>
      </w:r>
      <w:r w:rsidR="00C3680A">
        <w:fldChar w:fldCharType="separate"/>
      </w:r>
      <w:r w:rsidR="00B514D9">
        <w:t xml:space="preserve">Appendix </w:t>
      </w:r>
      <w:r w:rsidR="00B514D9">
        <w:rPr>
          <w:noProof/>
        </w:rPr>
        <w:t>2</w:t>
      </w:r>
      <w:r w:rsidR="00C3680A">
        <w:fldChar w:fldCharType="end"/>
      </w:r>
      <w:r w:rsidR="00AC17C4" w:rsidRPr="00AC17C4">
        <w:t xml:space="preserve"> </w:t>
      </w:r>
      <w:r w:rsidR="00AC17C4" w:rsidRPr="00EC223D">
        <w:t>f</w:t>
      </w:r>
      <w:r w:rsidR="00AC17C4">
        <w:t>or Australia and New Zealand</w:t>
      </w:r>
      <w:r w:rsidR="00C3680A">
        <w:t>).</w:t>
      </w:r>
      <w:r w:rsidR="009867BF" w:rsidRPr="009867BF">
        <w:t xml:space="preserve"> </w:t>
      </w:r>
      <w:r w:rsidR="0001167A">
        <w:t>Estimated exposures for New Zealand children were higher than those for adults when expressed as a percentage of the ADI, likely due to the higher ratio of food consumption to body weight for children compared to adults.</w:t>
      </w:r>
    </w:p>
    <w:p w14:paraId="6E0D825A" w14:textId="77777777" w:rsidR="00D12BB3" w:rsidRPr="003B5AB6" w:rsidRDefault="00D12BB3" w:rsidP="00C529C0"/>
    <w:p w14:paraId="6E0D825B" w14:textId="77777777" w:rsidR="00C3680A" w:rsidRPr="00D46334" w:rsidRDefault="00AD0FC6" w:rsidP="00C3680A">
      <w:pPr>
        <w:pStyle w:val="FSFigureTitle"/>
      </w:pPr>
      <w:bookmarkStart w:id="57" w:name="_Ref406574212"/>
      <w:r>
        <w:rPr>
          <w:noProof/>
          <w:lang w:eastAsia="en-GB" w:bidi="ar-SA"/>
        </w:rPr>
        <w:drawing>
          <wp:inline distT="0" distB="0" distL="0" distR="0" wp14:anchorId="6E0D83BA" wp14:editId="6E0D83BB">
            <wp:extent cx="5731510" cy="379817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798172"/>
                    </a:xfrm>
                    <a:prstGeom prst="rect">
                      <a:avLst/>
                    </a:prstGeom>
                    <a:noFill/>
                  </pic:spPr>
                </pic:pic>
              </a:graphicData>
            </a:graphic>
          </wp:inline>
        </w:drawing>
      </w:r>
      <w:r w:rsidR="00C3680A">
        <w:t xml:space="preserve">Figure </w:t>
      </w:r>
      <w:r w:rsidR="00C3680A">
        <w:fldChar w:fldCharType="begin"/>
      </w:r>
      <w:r w:rsidR="00C3680A">
        <w:instrText xml:space="preserve"> STYLEREF 1 \s </w:instrText>
      </w:r>
      <w:r w:rsidR="00C3680A">
        <w:fldChar w:fldCharType="separate"/>
      </w:r>
      <w:r w:rsidR="00B514D9">
        <w:rPr>
          <w:noProof/>
        </w:rPr>
        <w:t>4</w:t>
      </w:r>
      <w:r w:rsidR="00C3680A">
        <w:rPr>
          <w:noProof/>
        </w:rPr>
        <w:fldChar w:fldCharType="end"/>
      </w:r>
      <w:r w:rsidR="00C3680A">
        <w:t>.</w:t>
      </w:r>
      <w:r w:rsidR="00C3680A">
        <w:fldChar w:fldCharType="begin"/>
      </w:r>
      <w:r w:rsidR="00C3680A">
        <w:instrText xml:space="preserve"> SEQ Figure \* ARABIC \s 1 </w:instrText>
      </w:r>
      <w:r w:rsidR="00C3680A">
        <w:fldChar w:fldCharType="separate"/>
      </w:r>
      <w:r w:rsidR="00B514D9">
        <w:rPr>
          <w:noProof/>
        </w:rPr>
        <w:t>1</w:t>
      </w:r>
      <w:r w:rsidR="00C3680A">
        <w:rPr>
          <w:noProof/>
        </w:rPr>
        <w:fldChar w:fldCharType="end"/>
      </w:r>
      <w:bookmarkEnd w:id="57"/>
      <w:r w:rsidR="00C3680A" w:rsidRPr="00D46334">
        <w:t>: Estimated mean and 90</w:t>
      </w:r>
      <w:r w:rsidR="00C3680A" w:rsidRPr="0036103E">
        <w:rPr>
          <w:vertAlign w:val="superscript"/>
        </w:rPr>
        <w:t>th</w:t>
      </w:r>
      <w:r w:rsidR="00C3680A" w:rsidRPr="00D46334">
        <w:t xml:space="preserve"> percentile dietary exposures to </w:t>
      </w:r>
      <w:r w:rsidR="00C27F2F">
        <w:t>Ace K</w:t>
      </w:r>
      <w:r w:rsidR="00C3680A" w:rsidRPr="00D46334">
        <w:t xml:space="preserve"> </w:t>
      </w:r>
      <w:r w:rsidR="009867BF">
        <w:t xml:space="preserve">from </w:t>
      </w:r>
      <w:r w:rsidR="009867BF" w:rsidRPr="00AE6D14">
        <w:t>intensely sweetened chewing gum</w:t>
      </w:r>
      <w:r w:rsidR="009867BF" w:rsidRPr="00D46334">
        <w:t xml:space="preserve"> </w:t>
      </w:r>
      <w:r w:rsidR="00C3680A" w:rsidRPr="00D46334">
        <w:t xml:space="preserve">as a percentage of the ADI for all Australian </w:t>
      </w:r>
      <w:r w:rsidR="009867BF">
        <w:t xml:space="preserve">and New Zealand </w:t>
      </w:r>
      <w:r w:rsidR="00C3680A" w:rsidRPr="00D46334">
        <w:t>population groups assessed</w:t>
      </w:r>
      <w:r w:rsidR="009E3B0A" w:rsidRPr="001C7DDD">
        <w:rPr>
          <w:rStyle w:val="FootnoteReference"/>
        </w:rPr>
        <w:footnoteReference w:id="4"/>
      </w:r>
    </w:p>
    <w:p w14:paraId="6E0D825C" w14:textId="77777777" w:rsidR="001C2A8D" w:rsidRPr="003B5AB6" w:rsidRDefault="00320AC9" w:rsidP="002A1327">
      <w:pPr>
        <w:pStyle w:val="Heading3"/>
      </w:pPr>
      <w:bookmarkStart w:id="58" w:name="_Toc427684479"/>
      <w:r>
        <w:lastRenderedPageBreak/>
        <w:t>4.2.2</w:t>
      </w:r>
      <w:r>
        <w:tab/>
      </w:r>
      <w:r w:rsidR="001C2A8D" w:rsidRPr="003B5AB6">
        <w:t xml:space="preserve">Estimated population dietary exposures </w:t>
      </w:r>
      <w:r w:rsidR="001C2A8D">
        <w:t xml:space="preserve">from </w:t>
      </w:r>
      <w:r w:rsidR="001C2A8D" w:rsidRPr="00AE6D14">
        <w:rPr>
          <w:rFonts w:cs="Arial"/>
        </w:rPr>
        <w:t>intensely sweetened chewing gum</w:t>
      </w:r>
      <w:r w:rsidR="001C2A8D" w:rsidRPr="003B5AB6">
        <w:t xml:space="preserve"> </w:t>
      </w:r>
      <w:r w:rsidR="001C2A8D">
        <w:t>combined with the 2004 sweetener survey results</w:t>
      </w:r>
      <w:bookmarkEnd w:id="58"/>
      <w:r w:rsidR="001C2A8D">
        <w:t xml:space="preserve"> </w:t>
      </w:r>
    </w:p>
    <w:p w14:paraId="6E0D825D" w14:textId="77777777" w:rsidR="004C54BD" w:rsidRDefault="005E5026" w:rsidP="005E5026">
      <w:pPr>
        <w:rPr>
          <w:rFonts w:cs="Arial"/>
        </w:rPr>
      </w:pPr>
      <w:r>
        <w:rPr>
          <w:rFonts w:cs="Arial"/>
        </w:rPr>
        <w:t>C</w:t>
      </w:r>
      <w:r w:rsidR="003053C3">
        <w:rPr>
          <w:rFonts w:cs="Arial"/>
        </w:rPr>
        <w:t>ombin</w:t>
      </w:r>
      <w:r w:rsidR="00401D90">
        <w:rPr>
          <w:rFonts w:cs="Arial"/>
        </w:rPr>
        <w:t>ed</w:t>
      </w:r>
      <w:r w:rsidR="003053C3">
        <w:rPr>
          <w:rFonts w:cs="Arial"/>
        </w:rPr>
        <w:t xml:space="preserve"> </w:t>
      </w:r>
      <w:r>
        <w:rPr>
          <w:rFonts w:cs="Arial"/>
        </w:rPr>
        <w:t xml:space="preserve">estimated dietary exposures from the 2004 sweetener survey </w:t>
      </w:r>
      <w:r w:rsidR="00ED5AB6">
        <w:rPr>
          <w:rFonts w:cs="Arial"/>
        </w:rPr>
        <w:t xml:space="preserve">(baseline) </w:t>
      </w:r>
      <w:r>
        <w:rPr>
          <w:rFonts w:cs="Arial"/>
        </w:rPr>
        <w:t xml:space="preserve">and the </w:t>
      </w:r>
      <w:r w:rsidR="00C27F2F">
        <w:t>Ace K</w:t>
      </w:r>
      <w:r w:rsidR="001C2A8D" w:rsidRPr="00D46334">
        <w:t xml:space="preserve"> </w:t>
      </w:r>
      <w:r>
        <w:rPr>
          <w:rFonts w:cs="Arial"/>
        </w:rPr>
        <w:t xml:space="preserve">exposures </w:t>
      </w:r>
      <w:r w:rsidR="001C2A8D">
        <w:rPr>
          <w:rFonts w:cs="Arial"/>
        </w:rPr>
        <w:t xml:space="preserve">from the </w:t>
      </w:r>
      <w:r w:rsidR="001C2A8D" w:rsidRPr="00AE6D14">
        <w:rPr>
          <w:rFonts w:cs="Arial"/>
        </w:rPr>
        <w:t>intensely sweetened chewing gum</w:t>
      </w:r>
      <w:r w:rsidR="001C2A8D">
        <w:rPr>
          <w:rFonts w:cs="Arial"/>
        </w:rPr>
        <w:t xml:space="preserve">s </w:t>
      </w:r>
      <w:r w:rsidR="006E234E">
        <w:rPr>
          <w:rFonts w:cs="Arial"/>
        </w:rPr>
        <w:t>were estimated</w:t>
      </w:r>
      <w:r w:rsidR="0073513E">
        <w:rPr>
          <w:rFonts w:cs="Arial"/>
        </w:rPr>
        <w:t xml:space="preserve"> </w:t>
      </w:r>
      <w:r w:rsidR="00794124">
        <w:rPr>
          <w:rFonts w:cs="Arial"/>
        </w:rPr>
        <w:t>for population</w:t>
      </w:r>
      <w:r w:rsidR="00ED5AB6">
        <w:rPr>
          <w:rFonts w:cs="Arial"/>
        </w:rPr>
        <w:t>s</w:t>
      </w:r>
      <w:r w:rsidR="00794124">
        <w:rPr>
          <w:rFonts w:cs="Arial"/>
        </w:rPr>
        <w:t xml:space="preserve"> aged 12 years and over</w:t>
      </w:r>
      <w:r w:rsidR="00DF6055">
        <w:rPr>
          <w:rFonts w:cs="Arial"/>
        </w:rPr>
        <w:t xml:space="preserve"> f</w:t>
      </w:r>
      <w:r w:rsidR="00F441D6">
        <w:rPr>
          <w:rFonts w:cs="Arial"/>
        </w:rPr>
        <w:t>or</w:t>
      </w:r>
      <w:r w:rsidR="00DF6055">
        <w:rPr>
          <w:rFonts w:cs="Arial"/>
        </w:rPr>
        <w:t xml:space="preserve"> Australian and 15 years and over for New Zealand </w:t>
      </w:r>
      <w:r w:rsidR="00250788">
        <w:rPr>
          <w:rFonts w:cs="Arial"/>
        </w:rPr>
        <w:t xml:space="preserve"> and express</w:t>
      </w:r>
      <w:r w:rsidR="00ED5AB6">
        <w:rPr>
          <w:rFonts w:cs="Arial"/>
        </w:rPr>
        <w:t>ed</w:t>
      </w:r>
      <w:r w:rsidR="00250788">
        <w:rPr>
          <w:rFonts w:cs="Arial"/>
        </w:rPr>
        <w:t xml:space="preserve"> as a percentage of the ADI</w:t>
      </w:r>
      <w:r w:rsidR="0073513E">
        <w:rPr>
          <w:rFonts w:cs="Arial"/>
        </w:rPr>
        <w:t xml:space="preserve">. </w:t>
      </w:r>
    </w:p>
    <w:p w14:paraId="6E0D825E" w14:textId="77777777" w:rsidR="004C54BD" w:rsidRDefault="004C54BD" w:rsidP="005E5026">
      <w:pPr>
        <w:rPr>
          <w:rFonts w:cs="Arial"/>
        </w:rPr>
      </w:pPr>
    </w:p>
    <w:p w14:paraId="6E0D825F" w14:textId="77777777" w:rsidR="00CF231A" w:rsidRDefault="0073513E" w:rsidP="005E5026">
      <w:pPr>
        <w:rPr>
          <w:rFonts w:cs="Arial"/>
        </w:rPr>
      </w:pPr>
      <w:r>
        <w:rPr>
          <w:rFonts w:cs="Arial"/>
        </w:rPr>
        <w:t xml:space="preserve">There are some limitations with this approach given they </w:t>
      </w:r>
      <w:r w:rsidR="009B72B4">
        <w:rPr>
          <w:rFonts w:cs="Arial"/>
        </w:rPr>
        <w:t xml:space="preserve">were </w:t>
      </w:r>
      <w:r>
        <w:rPr>
          <w:rFonts w:cs="Arial"/>
        </w:rPr>
        <w:t xml:space="preserve">estimates from different </w:t>
      </w:r>
      <w:r w:rsidR="00DF6055">
        <w:rPr>
          <w:rFonts w:cs="Arial"/>
        </w:rPr>
        <w:t>time periods and</w:t>
      </w:r>
      <w:r>
        <w:rPr>
          <w:rFonts w:cs="Arial"/>
        </w:rPr>
        <w:t xml:space="preserve"> methodologies</w:t>
      </w:r>
      <w:r w:rsidR="00081F57">
        <w:rPr>
          <w:rFonts w:cs="Arial"/>
        </w:rPr>
        <w:t>. However</w:t>
      </w:r>
      <w:r>
        <w:rPr>
          <w:rFonts w:cs="Arial"/>
        </w:rPr>
        <w:t xml:space="preserve">, </w:t>
      </w:r>
      <w:r w:rsidR="00081F57">
        <w:rPr>
          <w:rFonts w:cs="Arial"/>
        </w:rPr>
        <w:t>it does</w:t>
      </w:r>
      <w:r>
        <w:rPr>
          <w:rFonts w:cs="Arial"/>
        </w:rPr>
        <w:t xml:space="preserve"> provide an indication of the potential impact</w:t>
      </w:r>
      <w:r w:rsidR="00CF231A">
        <w:rPr>
          <w:rFonts w:cs="Arial"/>
        </w:rPr>
        <w:t xml:space="preserve"> of the current request for extended Ace</w:t>
      </w:r>
      <w:r w:rsidR="00D12BB3">
        <w:rPr>
          <w:rFonts w:cs="Arial"/>
        </w:rPr>
        <w:t> K</w:t>
      </w:r>
      <w:r w:rsidR="00CF231A">
        <w:rPr>
          <w:rFonts w:cs="Arial"/>
        </w:rPr>
        <w:t xml:space="preserve"> permissions</w:t>
      </w:r>
      <w:r>
        <w:rPr>
          <w:rFonts w:cs="Arial"/>
        </w:rPr>
        <w:t xml:space="preserve"> on public health and safety in broad terms. In addition</w:t>
      </w:r>
      <w:r w:rsidR="006E234E">
        <w:rPr>
          <w:rFonts w:cs="Arial"/>
        </w:rPr>
        <w:t>, it should be noted that</w:t>
      </w:r>
      <w:r w:rsidR="00081F57">
        <w:rPr>
          <w:rFonts w:cs="Arial"/>
        </w:rPr>
        <w:t>, using this approach,</w:t>
      </w:r>
      <w:r w:rsidR="001C2A8D">
        <w:rPr>
          <w:rFonts w:cs="Arial"/>
        </w:rPr>
        <w:t xml:space="preserve"> </w:t>
      </w:r>
      <w:r w:rsidR="00081F57">
        <w:rPr>
          <w:rFonts w:cs="Arial"/>
        </w:rPr>
        <w:t xml:space="preserve">exposure to Ace K from </w:t>
      </w:r>
      <w:r w:rsidR="001C2A8D" w:rsidRPr="00AE6D14">
        <w:rPr>
          <w:rFonts w:cs="Arial"/>
        </w:rPr>
        <w:t>intensely sweetened chewing gum</w:t>
      </w:r>
      <w:r w:rsidR="006E234E">
        <w:rPr>
          <w:rFonts w:cs="Arial"/>
        </w:rPr>
        <w:t xml:space="preserve"> would be counted</w:t>
      </w:r>
      <w:r w:rsidR="001C2A8D">
        <w:rPr>
          <w:rFonts w:cs="Arial"/>
        </w:rPr>
        <w:t xml:space="preserve"> twice</w:t>
      </w:r>
      <w:r w:rsidR="00081F57">
        <w:rPr>
          <w:rFonts w:cs="Arial"/>
        </w:rPr>
        <w:t>,</w:t>
      </w:r>
      <w:r w:rsidR="006E234E">
        <w:rPr>
          <w:rFonts w:cs="Arial"/>
        </w:rPr>
        <w:t xml:space="preserve"> as it was </w:t>
      </w:r>
      <w:r w:rsidR="00081F57">
        <w:rPr>
          <w:rFonts w:cs="Arial"/>
        </w:rPr>
        <w:t xml:space="preserve">also </w:t>
      </w:r>
      <w:r w:rsidR="006E234E">
        <w:rPr>
          <w:rFonts w:cs="Arial"/>
        </w:rPr>
        <w:t>included in the 2004 sweetener survey</w:t>
      </w:r>
      <w:r w:rsidR="009B72B4">
        <w:rPr>
          <w:rFonts w:cs="Arial"/>
        </w:rPr>
        <w:t>, hence it is likely an over- estimate</w:t>
      </w:r>
      <w:r w:rsidR="007414B8">
        <w:rPr>
          <w:rFonts w:cs="Arial"/>
        </w:rPr>
        <w:t xml:space="preserve">. </w:t>
      </w:r>
    </w:p>
    <w:p w14:paraId="6E0D8260" w14:textId="77777777" w:rsidR="00CF231A" w:rsidRDefault="00CF231A" w:rsidP="005E5026">
      <w:pPr>
        <w:rPr>
          <w:rFonts w:cs="Arial"/>
        </w:rPr>
      </w:pPr>
    </w:p>
    <w:p w14:paraId="6E0D8261" w14:textId="77777777" w:rsidR="005904A2" w:rsidRPr="00C54A56" w:rsidRDefault="007414B8" w:rsidP="000441A6">
      <w:pPr>
        <w:rPr>
          <w:rFonts w:cs="Arial"/>
        </w:rPr>
      </w:pPr>
      <w:r>
        <w:rPr>
          <w:rFonts w:cs="Arial"/>
        </w:rPr>
        <w:t>With this combined estimate,</w:t>
      </w:r>
      <w:r w:rsidR="00401D90">
        <w:rPr>
          <w:rFonts w:cs="Arial"/>
        </w:rPr>
        <w:t xml:space="preserve"> </w:t>
      </w:r>
      <w:r>
        <w:rPr>
          <w:rFonts w:cs="Arial"/>
        </w:rPr>
        <w:t>the</w:t>
      </w:r>
      <w:r w:rsidR="005E5026">
        <w:rPr>
          <w:rFonts w:cs="Arial"/>
        </w:rPr>
        <w:t xml:space="preserve"> </w:t>
      </w:r>
      <w:r w:rsidR="005E5026" w:rsidRPr="003B5AB6">
        <w:rPr>
          <w:rFonts w:cs="Arial"/>
        </w:rPr>
        <w:t>mean and 90</w:t>
      </w:r>
      <w:r w:rsidR="005E5026" w:rsidRPr="003B5AB6">
        <w:rPr>
          <w:rFonts w:cs="Arial"/>
          <w:vertAlign w:val="superscript"/>
        </w:rPr>
        <w:t>th</w:t>
      </w:r>
      <w:r w:rsidR="005E5026" w:rsidRPr="003B5AB6">
        <w:rPr>
          <w:rFonts w:cs="Arial"/>
        </w:rPr>
        <w:t xml:space="preserve"> percentile dietary </w:t>
      </w:r>
      <w:r w:rsidR="005E5026">
        <w:rPr>
          <w:rFonts w:cs="Arial"/>
        </w:rPr>
        <w:t xml:space="preserve">exposures </w:t>
      </w:r>
      <w:r w:rsidR="009B72B4">
        <w:rPr>
          <w:rFonts w:cs="Arial"/>
        </w:rPr>
        <w:t xml:space="preserve">for consumers </w:t>
      </w:r>
      <w:r w:rsidR="005E5026">
        <w:rPr>
          <w:rFonts w:cs="Arial"/>
        </w:rPr>
        <w:t xml:space="preserve">were </w:t>
      </w:r>
      <w:r w:rsidR="006E234E">
        <w:rPr>
          <w:rFonts w:cs="Arial"/>
        </w:rPr>
        <w:t xml:space="preserve">well </w:t>
      </w:r>
      <w:r w:rsidR="005E5026" w:rsidRPr="003B5AB6">
        <w:rPr>
          <w:rFonts w:cs="Arial"/>
        </w:rPr>
        <w:t>below the ADI</w:t>
      </w:r>
      <w:r w:rsidR="005E5026">
        <w:rPr>
          <w:rFonts w:cs="Arial"/>
        </w:rPr>
        <w:t xml:space="preserve"> </w:t>
      </w:r>
      <w:r w:rsidR="00794124" w:rsidRPr="003B5AB6">
        <w:rPr>
          <w:rFonts w:cs="Arial"/>
        </w:rPr>
        <w:t xml:space="preserve">for the </w:t>
      </w:r>
      <w:r w:rsidR="009B72B4">
        <w:rPr>
          <w:rFonts w:cs="Arial"/>
        </w:rPr>
        <w:t>12 years and over population group for Australia and 15 years and over group for New Zealand</w:t>
      </w:r>
      <w:r w:rsidR="00794124">
        <w:rPr>
          <w:rFonts w:cs="Arial"/>
        </w:rPr>
        <w:t xml:space="preserve"> </w:t>
      </w:r>
      <w:r w:rsidR="0073513E">
        <w:rPr>
          <w:rFonts w:cs="Arial"/>
        </w:rPr>
        <w:t>when the</w:t>
      </w:r>
      <w:r w:rsidR="001C2A8D">
        <w:rPr>
          <w:rFonts w:cs="Arial"/>
        </w:rPr>
        <w:t xml:space="preserve"> </w:t>
      </w:r>
      <w:r w:rsidR="00282740">
        <w:rPr>
          <w:rFonts w:cs="Arial"/>
        </w:rPr>
        <w:t xml:space="preserve">increased MPL </w:t>
      </w:r>
      <w:r w:rsidR="00EB1159" w:rsidRPr="00EB1159">
        <w:rPr>
          <w:rFonts w:cs="Arial"/>
          <w:i/>
        </w:rPr>
        <w:t>Scenario</w:t>
      </w:r>
      <w:r w:rsidR="0073513E" w:rsidRPr="008C043A">
        <w:rPr>
          <w:rFonts w:cs="Arial"/>
        </w:rPr>
        <w:t xml:space="preserve"> </w:t>
      </w:r>
      <w:r w:rsidR="009B72B4">
        <w:rPr>
          <w:rFonts w:cs="Arial"/>
        </w:rPr>
        <w:t>was</w:t>
      </w:r>
      <w:r w:rsidR="009B72B4" w:rsidRPr="009B72B4">
        <w:rPr>
          <w:rFonts w:cs="Arial"/>
        </w:rPr>
        <w:t xml:space="preserve"> </w:t>
      </w:r>
      <w:r w:rsidR="009B72B4" w:rsidRPr="008C043A">
        <w:rPr>
          <w:rFonts w:cs="Arial"/>
        </w:rPr>
        <w:t>considered</w:t>
      </w:r>
      <w:r w:rsidR="001C2A8D">
        <w:rPr>
          <w:rFonts w:cs="Arial"/>
        </w:rPr>
        <w:t>.</w:t>
      </w:r>
      <w:r w:rsidR="00D12BB3">
        <w:rPr>
          <w:rFonts w:cs="Arial"/>
        </w:rPr>
        <w:t xml:space="preserve"> </w:t>
      </w:r>
      <w:r w:rsidR="000441A6">
        <w:rPr>
          <w:rFonts w:cs="Arial"/>
        </w:rPr>
        <w:t>Combined estimated mean dietary exposures for Ace K were 5-7</w:t>
      </w:r>
      <w:r w:rsidR="000441A6" w:rsidRPr="003B5AB6">
        <w:rPr>
          <w:rFonts w:cs="Arial"/>
        </w:rPr>
        <w:t xml:space="preserve">% </w:t>
      </w:r>
      <w:r w:rsidR="000441A6">
        <w:rPr>
          <w:rFonts w:cs="Arial"/>
        </w:rPr>
        <w:t>ADI and the 90</w:t>
      </w:r>
      <w:r w:rsidR="000441A6" w:rsidRPr="003B5AB6">
        <w:rPr>
          <w:rFonts w:cs="Arial"/>
          <w:vertAlign w:val="superscript"/>
        </w:rPr>
        <w:t>th</w:t>
      </w:r>
      <w:r w:rsidR="000441A6">
        <w:rPr>
          <w:rFonts w:cs="Arial"/>
        </w:rPr>
        <w:t xml:space="preserve"> percentile dietary exposures were </w:t>
      </w:r>
      <w:r w:rsidR="001B4383">
        <w:rPr>
          <w:rFonts w:cs="Arial"/>
        </w:rPr>
        <w:t>9</w:t>
      </w:r>
      <w:r w:rsidR="002A1327">
        <w:rPr>
          <w:rFonts w:cs="Arial"/>
        </w:rPr>
        <w:t>–</w:t>
      </w:r>
      <w:r w:rsidR="001E0FEE">
        <w:rPr>
          <w:rFonts w:cs="Arial"/>
        </w:rPr>
        <w:t>15</w:t>
      </w:r>
      <w:r w:rsidR="000441A6">
        <w:rPr>
          <w:rFonts w:cs="Arial"/>
        </w:rPr>
        <w:t xml:space="preserve">% of the ADI for the population groups assessed. </w:t>
      </w:r>
      <w:r w:rsidR="000441A6" w:rsidRPr="003B5AB6">
        <w:rPr>
          <w:rFonts w:cs="Arial"/>
        </w:rPr>
        <w:t>(</w:t>
      </w:r>
      <w:r w:rsidR="000441A6">
        <w:rPr>
          <w:rFonts w:cs="Arial"/>
        </w:rPr>
        <w:t xml:space="preserve">See </w:t>
      </w:r>
      <w:r w:rsidR="001450A2">
        <w:rPr>
          <w:rFonts w:cs="Arial"/>
        </w:rPr>
        <w:t>Figure 4.2</w:t>
      </w:r>
      <w:r w:rsidR="000441A6">
        <w:t xml:space="preserve"> and </w:t>
      </w:r>
      <w:r w:rsidR="001450A2">
        <w:t>Table A2.4</w:t>
      </w:r>
      <w:r w:rsidR="000441A6">
        <w:rPr>
          <w:rFonts w:cs="Arial"/>
        </w:rPr>
        <w:t xml:space="preserve"> in </w:t>
      </w:r>
      <w:r w:rsidR="000441A6">
        <w:rPr>
          <w:rFonts w:cs="Arial"/>
        </w:rPr>
        <w:fldChar w:fldCharType="begin"/>
      </w:r>
      <w:r w:rsidR="000441A6">
        <w:rPr>
          <w:rFonts w:cs="Arial"/>
        </w:rPr>
        <w:instrText xml:space="preserve"> REF _Ref406572148 \h </w:instrText>
      </w:r>
      <w:r w:rsidR="000441A6">
        <w:rPr>
          <w:rFonts w:cs="Arial"/>
        </w:rPr>
      </w:r>
      <w:r w:rsidR="000441A6">
        <w:rPr>
          <w:rFonts w:cs="Arial"/>
        </w:rPr>
        <w:fldChar w:fldCharType="separate"/>
      </w:r>
      <w:r w:rsidR="00B514D9">
        <w:t xml:space="preserve">Appendix </w:t>
      </w:r>
      <w:r w:rsidR="00B514D9">
        <w:rPr>
          <w:noProof/>
        </w:rPr>
        <w:t>2</w:t>
      </w:r>
      <w:r w:rsidR="000441A6">
        <w:rPr>
          <w:rFonts w:cs="Arial"/>
        </w:rPr>
        <w:fldChar w:fldCharType="end"/>
      </w:r>
      <w:r w:rsidR="000441A6" w:rsidRPr="007D63FE">
        <w:rPr>
          <w:rFonts w:cs="Arial"/>
        </w:rPr>
        <w:t xml:space="preserve"> </w:t>
      </w:r>
      <w:r w:rsidR="000441A6">
        <w:rPr>
          <w:rFonts w:cs="Arial"/>
        </w:rPr>
        <w:t>for Australia and New Zealand).</w:t>
      </w:r>
      <w:r w:rsidR="000441A6" w:rsidRPr="00D12BB3">
        <w:rPr>
          <w:rFonts w:cs="Arial"/>
          <w:color w:val="00B0F0"/>
        </w:rPr>
        <w:t xml:space="preserve"> </w:t>
      </w:r>
    </w:p>
    <w:p w14:paraId="6E0D8262" w14:textId="77777777" w:rsidR="00C427F1" w:rsidRPr="003B5AB6" w:rsidRDefault="00C427F1" w:rsidP="0074196B">
      <w:pPr>
        <w:rPr>
          <w:rFonts w:cs="Arial"/>
        </w:rPr>
      </w:pPr>
    </w:p>
    <w:p w14:paraId="6E0D8264" w14:textId="306584BA" w:rsidR="00F223EF" w:rsidRDefault="006D4D6B" w:rsidP="001035B2">
      <w:pPr>
        <w:pStyle w:val="FSFigureTitle"/>
        <w:keepNext/>
        <w:keepLines/>
        <w:widowControl/>
      </w:pPr>
      <w:bookmarkStart w:id="59" w:name="_Ref406574213"/>
      <w:bookmarkStart w:id="60" w:name="_Ref406573906"/>
      <w:r>
        <w:rPr>
          <w:noProof/>
          <w:lang w:eastAsia="en-GB" w:bidi="ar-SA"/>
        </w:rPr>
        <w:drawing>
          <wp:inline distT="0" distB="0" distL="0" distR="0" wp14:anchorId="6E0D83BC" wp14:editId="4BFFDAA2">
            <wp:extent cx="5342400" cy="4143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5950" cy="4146128"/>
                    </a:xfrm>
                    <a:prstGeom prst="rect">
                      <a:avLst/>
                    </a:prstGeom>
                    <a:noFill/>
                  </pic:spPr>
                </pic:pic>
              </a:graphicData>
            </a:graphic>
          </wp:inline>
        </w:drawing>
      </w:r>
      <w:r w:rsidR="00C3680A">
        <w:t xml:space="preserve">Figure </w:t>
      </w:r>
      <w:r w:rsidR="00C3680A">
        <w:fldChar w:fldCharType="begin"/>
      </w:r>
      <w:r w:rsidR="00C3680A">
        <w:instrText xml:space="preserve"> STYLEREF 1 \s </w:instrText>
      </w:r>
      <w:r w:rsidR="00C3680A">
        <w:fldChar w:fldCharType="separate"/>
      </w:r>
      <w:r w:rsidR="00B514D9">
        <w:rPr>
          <w:noProof/>
        </w:rPr>
        <w:t>4</w:t>
      </w:r>
      <w:r w:rsidR="00C3680A">
        <w:rPr>
          <w:noProof/>
        </w:rPr>
        <w:fldChar w:fldCharType="end"/>
      </w:r>
      <w:r w:rsidR="00C3680A">
        <w:t>.</w:t>
      </w:r>
      <w:r w:rsidR="00C3680A">
        <w:fldChar w:fldCharType="begin"/>
      </w:r>
      <w:r w:rsidR="00C3680A">
        <w:instrText xml:space="preserve"> SEQ Figure \* ARABIC \s 1 </w:instrText>
      </w:r>
      <w:r w:rsidR="00C3680A">
        <w:fldChar w:fldCharType="separate"/>
      </w:r>
      <w:r w:rsidR="00B514D9">
        <w:rPr>
          <w:noProof/>
        </w:rPr>
        <w:t>2</w:t>
      </w:r>
      <w:r w:rsidR="00C3680A">
        <w:rPr>
          <w:noProof/>
        </w:rPr>
        <w:fldChar w:fldCharType="end"/>
      </w:r>
      <w:bookmarkEnd w:id="59"/>
      <w:r w:rsidR="00C3680A" w:rsidRPr="00D46334">
        <w:t>: Estimated mean and 90</w:t>
      </w:r>
      <w:r w:rsidR="00C3680A" w:rsidRPr="0036103E">
        <w:rPr>
          <w:vertAlign w:val="superscript"/>
        </w:rPr>
        <w:t>th</w:t>
      </w:r>
      <w:r w:rsidR="00C3680A" w:rsidRPr="00D46334">
        <w:t xml:space="preserve"> percentile population dietary exposures to </w:t>
      </w:r>
      <w:r w:rsidR="00C27F2F">
        <w:t>Ace K</w:t>
      </w:r>
      <w:r w:rsidR="00C3680A" w:rsidRPr="00D46334">
        <w:t xml:space="preserve"> as a percentage of the ADI for all population groups assessed</w:t>
      </w:r>
      <w:bookmarkEnd w:id="60"/>
    </w:p>
    <w:p w14:paraId="6E0D8265" w14:textId="77777777" w:rsidR="004949FC" w:rsidRPr="003B5AB6" w:rsidRDefault="002A1327" w:rsidP="002A1327">
      <w:pPr>
        <w:pStyle w:val="Heading3"/>
      </w:pPr>
      <w:bookmarkStart w:id="61" w:name="_Toc427684480"/>
      <w:r>
        <w:t>4.2.3</w:t>
      </w:r>
      <w:r>
        <w:tab/>
      </w:r>
      <w:r w:rsidR="004949FC" w:rsidRPr="003B5AB6">
        <w:t xml:space="preserve">Estimated </w:t>
      </w:r>
      <w:r w:rsidR="008F38AD">
        <w:t xml:space="preserve">total </w:t>
      </w:r>
      <w:r w:rsidR="004949FC" w:rsidRPr="003B5AB6">
        <w:t xml:space="preserve">dietary exposures </w:t>
      </w:r>
      <w:r w:rsidR="008F38AD">
        <w:t xml:space="preserve">to Ace K </w:t>
      </w:r>
      <w:r w:rsidR="004949FC">
        <w:t>for young children</w:t>
      </w:r>
      <w:bookmarkEnd w:id="61"/>
    </w:p>
    <w:p w14:paraId="14218AF1" w14:textId="77777777" w:rsidR="001035B2" w:rsidRDefault="004949FC" w:rsidP="004949FC">
      <w:pPr>
        <w:rPr>
          <w:rFonts w:cs="Arial"/>
        </w:rPr>
      </w:pPr>
      <w:r>
        <w:rPr>
          <w:rFonts w:cs="Arial"/>
        </w:rPr>
        <w:t>As noted above, t</w:t>
      </w:r>
      <w:r w:rsidRPr="00C54A56">
        <w:rPr>
          <w:rFonts w:cs="Arial"/>
        </w:rPr>
        <w:t xml:space="preserve">he 2004 sweetener survey considered the Australian and New Zealand populations aged 12 years and above. </w:t>
      </w:r>
      <w:r w:rsidR="001035B2">
        <w:rPr>
          <w:rFonts w:cs="Arial"/>
        </w:rPr>
        <w:br w:type="page"/>
      </w:r>
    </w:p>
    <w:p w14:paraId="6E0D8266" w14:textId="2F636B8B" w:rsidR="004949FC" w:rsidRDefault="004949FC" w:rsidP="004949FC">
      <w:pPr>
        <w:rPr>
          <w:rFonts w:cs="Arial"/>
        </w:rPr>
      </w:pPr>
      <w:r w:rsidRPr="00613A06">
        <w:lastRenderedPageBreak/>
        <w:t>Although estimated dietary exposure to Ace K from intensely sweetened chewing gum was estimated for Australian children aged 2</w:t>
      </w:r>
      <w:r w:rsidR="002A1327">
        <w:rPr>
          <w:rFonts w:cs="Arial"/>
        </w:rPr>
        <w:t>–</w:t>
      </w:r>
      <w:r w:rsidRPr="00613A06">
        <w:t>11 years and New Zealand children aged 5</w:t>
      </w:r>
      <w:r w:rsidR="002A1327">
        <w:rPr>
          <w:rFonts w:cs="Arial"/>
        </w:rPr>
        <w:t>–</w:t>
      </w:r>
      <w:r w:rsidRPr="00613A06">
        <w:t>14 years, a total dietary exposure estimate was not calculated a</w:t>
      </w:r>
      <w:r w:rsidR="009B72B4">
        <w:t>t</w:t>
      </w:r>
      <w:r w:rsidRPr="00613A06">
        <w:t xml:space="preserve"> this point in time</w:t>
      </w:r>
      <w:r>
        <w:rPr>
          <w:rFonts w:cs="Arial"/>
        </w:rPr>
        <w:t xml:space="preserve"> because there </w:t>
      </w:r>
      <w:r w:rsidR="009B72B4">
        <w:rPr>
          <w:rFonts w:cs="Arial"/>
        </w:rPr>
        <w:t>were</w:t>
      </w:r>
      <w:r>
        <w:rPr>
          <w:rFonts w:cs="Arial"/>
        </w:rPr>
        <w:t xml:space="preserve"> no baseline data. </w:t>
      </w:r>
    </w:p>
    <w:p w14:paraId="6E0D8267" w14:textId="77777777" w:rsidR="004949FC" w:rsidRDefault="004949FC" w:rsidP="004949FC">
      <w:pPr>
        <w:rPr>
          <w:rFonts w:cs="Arial"/>
        </w:rPr>
      </w:pPr>
    </w:p>
    <w:p w14:paraId="6E0D8268" w14:textId="77777777" w:rsidR="002A1327" w:rsidRDefault="008F38AD" w:rsidP="008F38AD">
      <w:pPr>
        <w:rPr>
          <w:rFonts w:cs="Arial"/>
        </w:rPr>
      </w:pPr>
      <w:r>
        <w:rPr>
          <w:rFonts w:cs="Arial"/>
        </w:rPr>
        <w:t>F</w:t>
      </w:r>
      <w:r w:rsidRPr="00C54A56">
        <w:rPr>
          <w:rFonts w:cs="Arial"/>
        </w:rPr>
        <w:t xml:space="preserve">urther analysis of the </w:t>
      </w:r>
      <w:r>
        <w:rPr>
          <w:rFonts w:cs="Arial"/>
        </w:rPr>
        <w:t>2011 NNPAS indicates the</w:t>
      </w:r>
      <w:r w:rsidRPr="00C54A56">
        <w:rPr>
          <w:rFonts w:cs="Arial"/>
        </w:rPr>
        <w:t xml:space="preserve"> proportion of children consuming a range of intense sweetened food groups (i.e. carbonated soft drinks, cordials, flavoured yoghurts, confectioneries, desserts) </w:t>
      </w:r>
      <w:r>
        <w:rPr>
          <w:rFonts w:cs="Arial"/>
        </w:rPr>
        <w:t>was similar to or lower than that for the general population. For example, w</w:t>
      </w:r>
      <w:r w:rsidRPr="00C54A56">
        <w:rPr>
          <w:rFonts w:cs="Arial"/>
        </w:rPr>
        <w:t xml:space="preserve">ithin the food groups investigated, </w:t>
      </w:r>
      <w:r>
        <w:rPr>
          <w:rFonts w:cs="Arial"/>
        </w:rPr>
        <w:t xml:space="preserve">the largest difference was for </w:t>
      </w:r>
      <w:r w:rsidRPr="00C54A56">
        <w:rPr>
          <w:rFonts w:cs="Arial"/>
        </w:rPr>
        <w:t>intensely sweetened cola soft drinks</w:t>
      </w:r>
      <w:r>
        <w:rPr>
          <w:rFonts w:cs="Arial"/>
        </w:rPr>
        <w:t xml:space="preserve"> which</w:t>
      </w:r>
      <w:r w:rsidRPr="00C54A56">
        <w:rPr>
          <w:rFonts w:cs="Arial"/>
        </w:rPr>
        <w:t xml:space="preserve"> had the highest proportion of consumers (8% for the general po</w:t>
      </w:r>
      <w:r w:rsidR="00BC5C52">
        <w:rPr>
          <w:rFonts w:cs="Arial"/>
        </w:rPr>
        <w:t>pulation aged 2 years and above</w:t>
      </w:r>
      <w:r w:rsidRPr="00C54A56">
        <w:rPr>
          <w:rFonts w:cs="Arial"/>
        </w:rPr>
        <w:t xml:space="preserve"> </w:t>
      </w:r>
      <w:r>
        <w:rPr>
          <w:rFonts w:cs="Arial"/>
        </w:rPr>
        <w:t>but</w:t>
      </w:r>
      <w:r w:rsidRPr="00C54A56">
        <w:rPr>
          <w:rFonts w:cs="Arial"/>
        </w:rPr>
        <w:t xml:space="preserve"> less than 1%</w:t>
      </w:r>
      <w:r>
        <w:rPr>
          <w:rFonts w:cs="Arial"/>
        </w:rPr>
        <w:t xml:space="preserve"> for </w:t>
      </w:r>
      <w:r w:rsidRPr="00C54A56">
        <w:rPr>
          <w:rFonts w:cs="Arial"/>
        </w:rPr>
        <w:t xml:space="preserve">Australian children aged </w:t>
      </w:r>
    </w:p>
    <w:p w14:paraId="6E0D8269" w14:textId="77777777" w:rsidR="008F38AD" w:rsidRPr="00C54A56" w:rsidRDefault="008F38AD" w:rsidP="008F38AD">
      <w:pPr>
        <w:rPr>
          <w:rFonts w:cs="Arial"/>
        </w:rPr>
      </w:pPr>
      <w:r w:rsidRPr="00C54A56">
        <w:rPr>
          <w:rFonts w:cs="Arial"/>
        </w:rPr>
        <w:t>2</w:t>
      </w:r>
      <w:r w:rsidR="002A1327">
        <w:rPr>
          <w:rFonts w:cs="Arial"/>
        </w:rPr>
        <w:t>–</w:t>
      </w:r>
      <w:r w:rsidRPr="00C54A56">
        <w:rPr>
          <w:rFonts w:cs="Arial"/>
        </w:rPr>
        <w:t>6 years</w:t>
      </w:r>
      <w:r w:rsidR="00BC5C52">
        <w:rPr>
          <w:rFonts w:cs="Arial"/>
        </w:rPr>
        <w:t xml:space="preserve"> </w:t>
      </w:r>
      <w:r w:rsidR="00BC5C52" w:rsidRPr="00C54A56">
        <w:rPr>
          <w:rFonts w:cs="Arial"/>
        </w:rPr>
        <w:t>(</w:t>
      </w:r>
      <w:r w:rsidR="00BC5C52" w:rsidRPr="00C54A56">
        <w:rPr>
          <w:noProof/>
        </w:rPr>
        <w:t>ABS 2014</w:t>
      </w:r>
      <w:r w:rsidR="00BC5C52">
        <w:rPr>
          <w:rFonts w:cs="Arial"/>
        </w:rPr>
        <w:t>b)</w:t>
      </w:r>
      <w:r w:rsidRPr="00C54A56">
        <w:rPr>
          <w:rFonts w:cs="Arial"/>
        </w:rPr>
        <w:t xml:space="preserve">. Therefore, the </w:t>
      </w:r>
      <w:r>
        <w:rPr>
          <w:rFonts w:cs="Arial"/>
        </w:rPr>
        <w:t>baseline</w:t>
      </w:r>
      <w:r w:rsidRPr="00C54A56">
        <w:rPr>
          <w:rFonts w:cs="Arial"/>
        </w:rPr>
        <w:t xml:space="preserve"> </w:t>
      </w:r>
      <w:r>
        <w:rPr>
          <w:rFonts w:cs="Arial"/>
        </w:rPr>
        <w:t xml:space="preserve">mean dietary exposure for consumers of Ace K is likely </w:t>
      </w:r>
      <w:r w:rsidRPr="00C54A56">
        <w:rPr>
          <w:rFonts w:cs="Arial"/>
        </w:rPr>
        <w:t xml:space="preserve">to be similar to or lower </w:t>
      </w:r>
      <w:r>
        <w:rPr>
          <w:rFonts w:cs="Arial"/>
        </w:rPr>
        <w:t>for the 2</w:t>
      </w:r>
      <w:r w:rsidR="002A1327">
        <w:rPr>
          <w:rFonts w:cs="Arial"/>
        </w:rPr>
        <w:t>–</w:t>
      </w:r>
      <w:r>
        <w:rPr>
          <w:rFonts w:cs="Arial"/>
        </w:rPr>
        <w:t xml:space="preserve">11 year old age group </w:t>
      </w:r>
      <w:r w:rsidRPr="00C54A56">
        <w:rPr>
          <w:rFonts w:cs="Arial"/>
        </w:rPr>
        <w:t>than for the population</w:t>
      </w:r>
      <w:r>
        <w:rPr>
          <w:rFonts w:cs="Arial"/>
        </w:rPr>
        <w:t xml:space="preserve"> aged 12 years and over</w:t>
      </w:r>
      <w:r w:rsidRPr="00C54A56">
        <w:rPr>
          <w:rFonts w:cs="Arial"/>
        </w:rPr>
        <w:t>.</w:t>
      </w:r>
    </w:p>
    <w:p w14:paraId="6E0D826A" w14:textId="77777777" w:rsidR="008F38AD" w:rsidRDefault="008F38AD" w:rsidP="008F38AD">
      <w:pPr>
        <w:rPr>
          <w:rFonts w:cs="Arial"/>
        </w:rPr>
      </w:pPr>
      <w:r>
        <w:rPr>
          <w:rFonts w:cs="Arial"/>
        </w:rPr>
        <w:t xml:space="preserve"> </w:t>
      </w:r>
    </w:p>
    <w:p w14:paraId="6E0D826B" w14:textId="77777777" w:rsidR="004949FC" w:rsidRDefault="004949FC" w:rsidP="008F38AD">
      <w:pPr>
        <w:rPr>
          <w:rFonts w:cs="Arial"/>
        </w:rPr>
      </w:pPr>
      <w:r>
        <w:rPr>
          <w:rFonts w:cs="Arial"/>
        </w:rPr>
        <w:t>However, as children 2</w:t>
      </w:r>
      <w:r w:rsidR="002A1327">
        <w:rPr>
          <w:rFonts w:cs="Arial"/>
        </w:rPr>
        <w:t>–</w:t>
      </w:r>
      <w:r>
        <w:rPr>
          <w:rFonts w:cs="Arial"/>
        </w:rPr>
        <w:t xml:space="preserve">6 years in Australia </w:t>
      </w:r>
      <w:r w:rsidRPr="00C54A56">
        <w:rPr>
          <w:rFonts w:cs="Arial"/>
        </w:rPr>
        <w:t xml:space="preserve">did not </w:t>
      </w:r>
      <w:r>
        <w:rPr>
          <w:rFonts w:cs="Arial"/>
        </w:rPr>
        <w:t xml:space="preserve">report </w:t>
      </w:r>
      <w:r w:rsidRPr="00C54A56">
        <w:rPr>
          <w:rFonts w:cs="Arial"/>
        </w:rPr>
        <w:t>consum</w:t>
      </w:r>
      <w:r>
        <w:rPr>
          <w:rFonts w:cs="Arial"/>
        </w:rPr>
        <w:t>ing</w:t>
      </w:r>
      <w:r w:rsidRPr="00C54A56">
        <w:rPr>
          <w:rFonts w:cs="Arial"/>
        </w:rPr>
        <w:t xml:space="preserve"> intense sweetened chewing gum in the 2011 NNPAS</w:t>
      </w:r>
      <w:r>
        <w:rPr>
          <w:rFonts w:cs="Arial"/>
        </w:rPr>
        <w:t xml:space="preserve">, there would be no expected impact on </w:t>
      </w:r>
      <w:r w:rsidR="00844B72">
        <w:rPr>
          <w:rFonts w:cs="Arial"/>
        </w:rPr>
        <w:t>dietary exposure</w:t>
      </w:r>
      <w:r>
        <w:rPr>
          <w:rFonts w:cs="Arial"/>
        </w:rPr>
        <w:t xml:space="preserve"> </w:t>
      </w:r>
      <w:r w:rsidR="009B72B4">
        <w:rPr>
          <w:rFonts w:cs="Arial"/>
        </w:rPr>
        <w:t xml:space="preserve">to Ace K </w:t>
      </w:r>
      <w:r>
        <w:rPr>
          <w:rFonts w:cs="Arial"/>
        </w:rPr>
        <w:t xml:space="preserve">for this group </w:t>
      </w:r>
      <w:r w:rsidR="009B72B4">
        <w:rPr>
          <w:rFonts w:cs="Arial"/>
        </w:rPr>
        <w:t>due to</w:t>
      </w:r>
      <w:r>
        <w:rPr>
          <w:rFonts w:cs="Arial"/>
        </w:rPr>
        <w:t xml:space="preserve"> an increase</w:t>
      </w:r>
      <w:r w:rsidR="008F38AD">
        <w:rPr>
          <w:rFonts w:cs="Arial"/>
        </w:rPr>
        <w:t>d</w:t>
      </w:r>
      <w:r>
        <w:rPr>
          <w:rFonts w:cs="Arial"/>
        </w:rPr>
        <w:t xml:space="preserve"> MPL for Ace K in chewing gum (see </w:t>
      </w:r>
      <w:r>
        <w:fldChar w:fldCharType="begin"/>
      </w:r>
      <w:r>
        <w:instrText xml:space="preserve"> REF _Ref421276360 \h </w:instrText>
      </w:r>
      <w:r>
        <w:fldChar w:fldCharType="separate"/>
      </w:r>
      <w:r w:rsidR="00B514D9">
        <w:t>Table A2.</w:t>
      </w:r>
      <w:r>
        <w:fldChar w:fldCharType="end"/>
      </w:r>
      <w:r w:rsidR="008F38AD">
        <w:t>3</w:t>
      </w:r>
      <w:r>
        <w:t xml:space="preserve"> in </w:t>
      </w:r>
      <w:r>
        <w:fldChar w:fldCharType="begin"/>
      </w:r>
      <w:r>
        <w:instrText xml:space="preserve"> REF _Ref406572148 \h </w:instrText>
      </w:r>
      <w:r>
        <w:fldChar w:fldCharType="separate"/>
      </w:r>
      <w:r w:rsidR="00B514D9">
        <w:t xml:space="preserve">Appendix </w:t>
      </w:r>
      <w:r w:rsidR="00B514D9">
        <w:rPr>
          <w:noProof/>
        </w:rPr>
        <w:t>2</w:t>
      </w:r>
      <w:r>
        <w:fldChar w:fldCharType="end"/>
      </w:r>
      <w:r>
        <w:rPr>
          <w:rFonts w:cs="Arial"/>
        </w:rPr>
        <w:t xml:space="preserve">). </w:t>
      </w:r>
      <w:r w:rsidR="00844B72">
        <w:rPr>
          <w:rFonts w:cs="Arial"/>
        </w:rPr>
        <w:t>As t</w:t>
      </w:r>
      <w:r w:rsidR="009B72B4">
        <w:rPr>
          <w:rFonts w:cs="Arial"/>
        </w:rPr>
        <w:t xml:space="preserve">he proportion of </w:t>
      </w:r>
      <w:r w:rsidR="008F38AD">
        <w:rPr>
          <w:rFonts w:cs="Arial"/>
        </w:rPr>
        <w:t xml:space="preserve">Australian </w:t>
      </w:r>
      <w:r w:rsidR="009B72B4">
        <w:rPr>
          <w:rFonts w:cs="Arial"/>
        </w:rPr>
        <w:t>7</w:t>
      </w:r>
      <w:r w:rsidR="002A1327">
        <w:rPr>
          <w:rFonts w:cs="Arial"/>
        </w:rPr>
        <w:t>–</w:t>
      </w:r>
      <w:r w:rsidR="009B72B4">
        <w:rPr>
          <w:rFonts w:cs="Arial"/>
        </w:rPr>
        <w:t xml:space="preserve">11 years olds consuming intensely sweetened chewing gum </w:t>
      </w:r>
      <w:r w:rsidR="008F38AD">
        <w:rPr>
          <w:rFonts w:cs="Arial"/>
        </w:rPr>
        <w:t xml:space="preserve">(&lt;1%) </w:t>
      </w:r>
      <w:r w:rsidR="009B72B4">
        <w:rPr>
          <w:rFonts w:cs="Arial"/>
        </w:rPr>
        <w:t>was similar to that for the population aged 12 years and over (&lt;1</w:t>
      </w:r>
      <w:r w:rsidR="008F38AD">
        <w:rPr>
          <w:rFonts w:cs="Arial"/>
        </w:rPr>
        <w:t>%)</w:t>
      </w:r>
      <w:r w:rsidR="009B72B4">
        <w:rPr>
          <w:rFonts w:cs="Arial"/>
        </w:rPr>
        <w:t xml:space="preserve"> the im</w:t>
      </w:r>
      <w:r w:rsidR="008F38AD">
        <w:rPr>
          <w:rFonts w:cs="Arial"/>
        </w:rPr>
        <w:t>p</w:t>
      </w:r>
      <w:r w:rsidR="009B72B4">
        <w:rPr>
          <w:rFonts w:cs="Arial"/>
        </w:rPr>
        <w:t>act of increasing the MPL for Ace K in chewi</w:t>
      </w:r>
      <w:r w:rsidR="008F38AD">
        <w:rPr>
          <w:rFonts w:cs="Arial"/>
        </w:rPr>
        <w:t>ng</w:t>
      </w:r>
      <w:r w:rsidR="009B72B4">
        <w:rPr>
          <w:rFonts w:cs="Arial"/>
        </w:rPr>
        <w:t xml:space="preserve"> gum </w:t>
      </w:r>
      <w:r w:rsidR="008F38AD">
        <w:rPr>
          <w:rFonts w:cs="Arial"/>
        </w:rPr>
        <w:t xml:space="preserve">on estimated total dietary exposure </w:t>
      </w:r>
      <w:r w:rsidR="009B72B4">
        <w:rPr>
          <w:rFonts w:cs="Arial"/>
        </w:rPr>
        <w:t xml:space="preserve">is </w:t>
      </w:r>
      <w:r w:rsidR="00844B72">
        <w:rPr>
          <w:rFonts w:cs="Arial"/>
        </w:rPr>
        <w:t xml:space="preserve">also </w:t>
      </w:r>
      <w:r w:rsidR="009B72B4">
        <w:rPr>
          <w:rFonts w:cs="Arial"/>
        </w:rPr>
        <w:t>expected t</w:t>
      </w:r>
      <w:r w:rsidR="008F38AD">
        <w:rPr>
          <w:rFonts w:cs="Arial"/>
        </w:rPr>
        <w:t>o</w:t>
      </w:r>
      <w:r w:rsidR="009B72B4">
        <w:rPr>
          <w:rFonts w:cs="Arial"/>
        </w:rPr>
        <w:t xml:space="preserve"> be </w:t>
      </w:r>
      <w:r w:rsidR="008F38AD">
        <w:rPr>
          <w:rFonts w:cs="Arial"/>
        </w:rPr>
        <w:t>similar</w:t>
      </w:r>
      <w:r w:rsidR="009B72B4">
        <w:rPr>
          <w:rFonts w:cs="Arial"/>
        </w:rPr>
        <w:t>.</w:t>
      </w:r>
    </w:p>
    <w:p w14:paraId="6E0D826C" w14:textId="77777777" w:rsidR="004949FC" w:rsidRDefault="004949FC" w:rsidP="004949FC">
      <w:pPr>
        <w:rPr>
          <w:rFonts w:cs="Arial"/>
        </w:rPr>
      </w:pPr>
    </w:p>
    <w:p w14:paraId="6E0D826D" w14:textId="77777777" w:rsidR="008F38AD" w:rsidRDefault="00844B72" w:rsidP="004949FC">
      <w:pPr>
        <w:rPr>
          <w:rFonts w:cs="Arial"/>
        </w:rPr>
      </w:pPr>
      <w:r>
        <w:rPr>
          <w:rFonts w:cs="Arial"/>
        </w:rPr>
        <w:t>The same tr</w:t>
      </w:r>
      <w:r w:rsidR="008D3C31">
        <w:rPr>
          <w:rFonts w:cs="Arial"/>
        </w:rPr>
        <w:t>en</w:t>
      </w:r>
      <w:r>
        <w:rPr>
          <w:rFonts w:cs="Arial"/>
        </w:rPr>
        <w:t>d was</w:t>
      </w:r>
      <w:r w:rsidR="008F38AD">
        <w:rPr>
          <w:rFonts w:cs="Arial"/>
        </w:rPr>
        <w:t xml:space="preserve"> noted for the New Zealand populations, where the proportion of New Zealand children consuming intensely sweetened chewing gum (1%) was similar to that for the population aged 15 years and over (&lt;1%) so the impact of cha</w:t>
      </w:r>
      <w:r w:rsidR="008D3C31">
        <w:rPr>
          <w:rFonts w:cs="Arial"/>
        </w:rPr>
        <w:t>n</w:t>
      </w:r>
      <w:r w:rsidR="008F38AD">
        <w:rPr>
          <w:rFonts w:cs="Arial"/>
        </w:rPr>
        <w:t xml:space="preserve">ging the MPL for </w:t>
      </w:r>
      <w:r>
        <w:rPr>
          <w:rFonts w:cs="Arial"/>
        </w:rPr>
        <w:t>Ace</w:t>
      </w:r>
      <w:r w:rsidR="008F38AD">
        <w:rPr>
          <w:rFonts w:cs="Arial"/>
        </w:rPr>
        <w:t xml:space="preserve"> K in chewing gum </w:t>
      </w:r>
      <w:r w:rsidR="008D3C31">
        <w:rPr>
          <w:rFonts w:cs="Arial"/>
        </w:rPr>
        <w:t xml:space="preserve">on estimated total dietary exposures </w:t>
      </w:r>
      <w:r w:rsidR="008F38AD">
        <w:rPr>
          <w:rFonts w:cs="Arial"/>
        </w:rPr>
        <w:t xml:space="preserve">is </w:t>
      </w:r>
      <w:r>
        <w:rPr>
          <w:rFonts w:cs="Arial"/>
        </w:rPr>
        <w:t xml:space="preserve">also </w:t>
      </w:r>
      <w:r w:rsidR="008F38AD">
        <w:rPr>
          <w:rFonts w:cs="Arial"/>
        </w:rPr>
        <w:t>expected to be similar.</w:t>
      </w:r>
    </w:p>
    <w:p w14:paraId="6E0D826E" w14:textId="77777777" w:rsidR="00F14CF9" w:rsidRPr="00265CB6" w:rsidRDefault="002A1327" w:rsidP="002A1327">
      <w:pPr>
        <w:pStyle w:val="Heading3"/>
      </w:pPr>
      <w:bookmarkStart w:id="62" w:name="_Toc427684481"/>
      <w:bookmarkStart w:id="63" w:name="_Ref406420414"/>
      <w:r>
        <w:t>4.2.4</w:t>
      </w:r>
      <w:r>
        <w:tab/>
      </w:r>
      <w:r w:rsidR="00F14CF9" w:rsidRPr="00265CB6">
        <w:t xml:space="preserve">Major foods contributing to </w:t>
      </w:r>
      <w:r w:rsidR="00C27F2F">
        <w:t>Ace K</w:t>
      </w:r>
      <w:r w:rsidR="00F14CF9" w:rsidRPr="00265CB6">
        <w:t xml:space="preserve"> dietary exposure</w:t>
      </w:r>
      <w:bookmarkEnd w:id="62"/>
    </w:p>
    <w:p w14:paraId="6E0D826F" w14:textId="77777777" w:rsidR="00F223EF" w:rsidRPr="00212B6B" w:rsidRDefault="006E234E" w:rsidP="001713AF">
      <w:r>
        <w:rPr>
          <w:rFonts w:cs="Arial"/>
        </w:rPr>
        <w:t xml:space="preserve">From the 2004 sweetener survey, </w:t>
      </w:r>
      <w:r w:rsidR="00426CD4">
        <w:rPr>
          <w:rFonts w:cs="Arial"/>
        </w:rPr>
        <w:t xml:space="preserve">for those participating in the 7-day diary survey </w:t>
      </w:r>
      <w:r>
        <w:rPr>
          <w:rFonts w:cs="Arial"/>
        </w:rPr>
        <w:t>the c</w:t>
      </w:r>
      <w:r w:rsidR="002E6FEC" w:rsidRPr="003C7CC2">
        <w:rPr>
          <w:rFonts w:cs="Arial"/>
        </w:rPr>
        <w:t xml:space="preserve">ontribution </w:t>
      </w:r>
      <w:r w:rsidR="00426CD4">
        <w:rPr>
          <w:rFonts w:cs="Arial"/>
        </w:rPr>
        <w:t xml:space="preserve">to total Ace K dietary exposure </w:t>
      </w:r>
      <w:r w:rsidR="002E6FEC" w:rsidRPr="003C7CC2">
        <w:rPr>
          <w:rFonts w:cs="Arial"/>
        </w:rPr>
        <w:t>from confection</w:t>
      </w:r>
      <w:r w:rsidR="002A1327">
        <w:rPr>
          <w:rFonts w:cs="Arial"/>
        </w:rPr>
        <w:t>e</w:t>
      </w:r>
      <w:r w:rsidR="002E6FEC" w:rsidRPr="003C7CC2">
        <w:rPr>
          <w:rFonts w:cs="Arial"/>
        </w:rPr>
        <w:t>ries</w:t>
      </w:r>
      <w:r w:rsidR="003C7CC2" w:rsidRPr="003C7CC2">
        <w:rPr>
          <w:rFonts w:cs="Arial"/>
        </w:rPr>
        <w:t xml:space="preserve"> (i.e. chewing gum, lollies, chocolate etc)</w:t>
      </w:r>
      <w:r w:rsidR="00426CD4">
        <w:rPr>
          <w:rFonts w:cs="Arial"/>
        </w:rPr>
        <w:t>,</w:t>
      </w:r>
      <w:r w:rsidR="002E6FEC" w:rsidRPr="003C7CC2">
        <w:rPr>
          <w:rFonts w:cs="Arial"/>
        </w:rPr>
        <w:t xml:space="preserve"> </w:t>
      </w:r>
      <w:r>
        <w:rPr>
          <w:rFonts w:cs="Arial"/>
        </w:rPr>
        <w:t>was</w:t>
      </w:r>
      <w:r w:rsidR="003C7CC2" w:rsidRPr="003C7CC2">
        <w:rPr>
          <w:rFonts w:cs="Arial"/>
        </w:rPr>
        <w:t xml:space="preserve"> </w:t>
      </w:r>
      <w:r w:rsidR="00EF5D2C">
        <w:rPr>
          <w:rFonts w:cs="Arial"/>
        </w:rPr>
        <w:t xml:space="preserve">7% for </w:t>
      </w:r>
      <w:r w:rsidR="00426CD4">
        <w:rPr>
          <w:rFonts w:cs="Arial"/>
        </w:rPr>
        <w:t xml:space="preserve">the </w:t>
      </w:r>
      <w:r w:rsidR="00EF5D2C">
        <w:rPr>
          <w:rFonts w:cs="Arial"/>
        </w:rPr>
        <w:t>Australia</w:t>
      </w:r>
      <w:r w:rsidR="00426CD4">
        <w:rPr>
          <w:rFonts w:cs="Arial"/>
        </w:rPr>
        <w:t>n</w:t>
      </w:r>
      <w:r w:rsidR="00EF5D2C">
        <w:rPr>
          <w:rFonts w:cs="Arial"/>
        </w:rPr>
        <w:t xml:space="preserve"> and</w:t>
      </w:r>
      <w:r w:rsidR="00441D38">
        <w:rPr>
          <w:rFonts w:cs="Arial"/>
        </w:rPr>
        <w:t xml:space="preserve"> </w:t>
      </w:r>
      <w:r w:rsidR="003C7CC2" w:rsidRPr="003C7CC2">
        <w:rPr>
          <w:rFonts w:cs="Arial"/>
        </w:rPr>
        <w:t>10%</w:t>
      </w:r>
      <w:r w:rsidR="000F39AB">
        <w:rPr>
          <w:rFonts w:cs="Arial"/>
        </w:rPr>
        <w:t xml:space="preserve"> </w:t>
      </w:r>
      <w:r w:rsidR="000F39AB" w:rsidRPr="00212B6B">
        <w:rPr>
          <w:rFonts w:cs="Arial"/>
        </w:rPr>
        <w:t>for</w:t>
      </w:r>
      <w:r w:rsidR="00426CD4" w:rsidRPr="00212B6B">
        <w:rPr>
          <w:rFonts w:cs="Arial"/>
        </w:rPr>
        <w:t xml:space="preserve"> the</w:t>
      </w:r>
      <w:r w:rsidR="000F39AB" w:rsidRPr="00212B6B">
        <w:rPr>
          <w:rFonts w:cs="Arial"/>
        </w:rPr>
        <w:t xml:space="preserve"> New </w:t>
      </w:r>
      <w:r w:rsidR="00EF5D2C" w:rsidRPr="00212B6B">
        <w:rPr>
          <w:rFonts w:cs="Arial"/>
        </w:rPr>
        <w:t>Zealand</w:t>
      </w:r>
      <w:r w:rsidR="00426CD4" w:rsidRPr="00212B6B">
        <w:rPr>
          <w:rFonts w:cs="Arial"/>
        </w:rPr>
        <w:t xml:space="preserve"> population</w:t>
      </w:r>
      <w:r w:rsidR="003C7CC2" w:rsidRPr="00212B6B">
        <w:rPr>
          <w:rFonts w:cs="Arial"/>
        </w:rPr>
        <w:t>.</w:t>
      </w:r>
      <w:r w:rsidR="000F39AB" w:rsidRPr="00212B6B">
        <w:rPr>
          <w:rFonts w:cs="Arial"/>
        </w:rPr>
        <w:t xml:space="preserve"> </w:t>
      </w:r>
      <w:r w:rsidR="002E6FC6" w:rsidRPr="00212B6B">
        <w:rPr>
          <w:rFonts w:cs="Arial"/>
        </w:rPr>
        <w:t xml:space="preserve">Food groups with </w:t>
      </w:r>
      <w:r w:rsidR="00426CD4" w:rsidRPr="00212B6B">
        <w:rPr>
          <w:rFonts w:cs="Arial"/>
        </w:rPr>
        <w:t xml:space="preserve">the </w:t>
      </w:r>
      <w:r w:rsidR="002E6FC6" w:rsidRPr="00212B6B">
        <w:rPr>
          <w:rFonts w:cs="Arial"/>
        </w:rPr>
        <w:t xml:space="preserve">highest </w:t>
      </w:r>
      <w:r w:rsidR="0028021C" w:rsidRPr="00212B6B">
        <w:rPr>
          <w:rFonts w:cs="Arial"/>
        </w:rPr>
        <w:t xml:space="preserve">contribution for Ace K </w:t>
      </w:r>
      <w:r w:rsidR="00426CD4" w:rsidRPr="00212B6B">
        <w:rPr>
          <w:rFonts w:cs="Arial"/>
        </w:rPr>
        <w:t xml:space="preserve">dietary exposure were </w:t>
      </w:r>
      <w:r w:rsidR="0028021C" w:rsidRPr="00212B6B">
        <w:rPr>
          <w:rFonts w:cs="Arial"/>
        </w:rPr>
        <w:t xml:space="preserve">non-alcoholic beverages (including </w:t>
      </w:r>
      <w:r w:rsidR="008134C7" w:rsidRPr="00212B6B">
        <w:rPr>
          <w:rFonts w:cs="Arial"/>
        </w:rPr>
        <w:t xml:space="preserve">carbonated soft drinks, cordial </w:t>
      </w:r>
      <w:r w:rsidR="0028021C" w:rsidRPr="00212B6B">
        <w:rPr>
          <w:rFonts w:cs="Arial"/>
        </w:rPr>
        <w:t>and fruit drinks) for both Australian and New Zealand population</w:t>
      </w:r>
      <w:r w:rsidR="00426CD4" w:rsidRPr="00212B6B">
        <w:rPr>
          <w:rFonts w:cs="Arial"/>
        </w:rPr>
        <w:t>s</w:t>
      </w:r>
      <w:r w:rsidR="0028021C" w:rsidRPr="00212B6B">
        <w:rPr>
          <w:rFonts w:cs="Arial"/>
        </w:rPr>
        <w:t xml:space="preserve"> </w:t>
      </w:r>
      <w:r w:rsidR="00ED234A" w:rsidRPr="00212B6B">
        <w:rPr>
          <w:rFonts w:cs="Arial"/>
        </w:rPr>
        <w:t>(</w:t>
      </w:r>
      <w:r w:rsidR="0028021C" w:rsidRPr="00212B6B">
        <w:rPr>
          <w:rFonts w:cs="Arial"/>
        </w:rPr>
        <w:t>61% and 82%</w:t>
      </w:r>
      <w:r w:rsidR="00426CD4" w:rsidRPr="00212B6B">
        <w:rPr>
          <w:rFonts w:cs="Arial"/>
        </w:rPr>
        <w:t>, respectively</w:t>
      </w:r>
      <w:r w:rsidR="00ED234A" w:rsidRPr="00212B6B">
        <w:rPr>
          <w:rFonts w:cs="Arial"/>
        </w:rPr>
        <w:t>)</w:t>
      </w:r>
      <w:r w:rsidR="00426CD4" w:rsidRPr="00212B6B">
        <w:rPr>
          <w:rFonts w:cs="Arial"/>
        </w:rPr>
        <w:t>, followed by</w:t>
      </w:r>
      <w:r w:rsidR="00ED234A" w:rsidRPr="00212B6B">
        <w:rPr>
          <w:rFonts w:cs="Arial"/>
        </w:rPr>
        <w:t xml:space="preserve"> flavoured yoghurts and mousses </w:t>
      </w:r>
      <w:r w:rsidR="00426CD4" w:rsidRPr="00212B6B">
        <w:rPr>
          <w:rFonts w:cs="Arial"/>
        </w:rPr>
        <w:t>(</w:t>
      </w:r>
      <w:r w:rsidR="00ED234A" w:rsidRPr="00212B6B">
        <w:rPr>
          <w:rFonts w:cs="Arial"/>
        </w:rPr>
        <w:t xml:space="preserve">22% and &lt;5% </w:t>
      </w:r>
      <w:r w:rsidR="00426CD4" w:rsidRPr="00212B6B">
        <w:rPr>
          <w:rFonts w:cs="Arial"/>
        </w:rPr>
        <w:t>respectively)</w:t>
      </w:r>
      <w:r w:rsidR="00ED234A" w:rsidRPr="00212B6B">
        <w:rPr>
          <w:rFonts w:cs="Arial"/>
        </w:rPr>
        <w:t>.</w:t>
      </w:r>
      <w:r w:rsidR="00C427F1">
        <w:rPr>
          <w:rFonts w:cs="Arial"/>
        </w:rPr>
        <w:t xml:space="preserve"> An increase in the MPL for Ace K in chewing gum might be expected to increase the percentage contribution to total estimated Ace K dietary exposure from chewing gum by a limited amount </w:t>
      </w:r>
      <w:r w:rsidR="002004C1">
        <w:rPr>
          <w:rFonts w:cs="Arial"/>
        </w:rPr>
        <w:t xml:space="preserve">depending on its share of the chewing gum market, </w:t>
      </w:r>
      <w:r w:rsidR="00C427F1">
        <w:rPr>
          <w:rFonts w:cs="Arial"/>
        </w:rPr>
        <w:t xml:space="preserve">with a subsequent small decrease in percentage </w:t>
      </w:r>
      <w:r w:rsidR="00A67636">
        <w:rPr>
          <w:rFonts w:cs="Arial"/>
        </w:rPr>
        <w:t>contributio</w:t>
      </w:r>
      <w:r w:rsidR="00C427F1">
        <w:rPr>
          <w:rFonts w:cs="Arial"/>
        </w:rPr>
        <w:t xml:space="preserve">n from </w:t>
      </w:r>
      <w:r w:rsidR="00A67636">
        <w:rPr>
          <w:rFonts w:cs="Arial"/>
        </w:rPr>
        <w:t xml:space="preserve">all </w:t>
      </w:r>
      <w:r w:rsidR="00C427F1">
        <w:rPr>
          <w:rFonts w:cs="Arial"/>
        </w:rPr>
        <w:t>other foods.</w:t>
      </w:r>
    </w:p>
    <w:p w14:paraId="6E0D8270" w14:textId="77777777" w:rsidR="00F223EF" w:rsidRPr="00730981" w:rsidRDefault="002A1327" w:rsidP="001713AF">
      <w:pPr>
        <w:pStyle w:val="Heading2"/>
      </w:pPr>
      <w:bookmarkStart w:id="64" w:name="_Toc360028631"/>
      <w:bookmarkStart w:id="65" w:name="_Toc427684482"/>
      <w:bookmarkEnd w:id="63"/>
      <w:r>
        <w:t>4.3</w:t>
      </w:r>
      <w:r>
        <w:tab/>
      </w:r>
      <w:r w:rsidR="00F223EF" w:rsidRPr="00212B6B">
        <w:t xml:space="preserve">Dietary exposure assessment </w:t>
      </w:r>
      <w:r w:rsidR="00F223EF" w:rsidRPr="00730981">
        <w:t>conclusion</w:t>
      </w:r>
      <w:bookmarkEnd w:id="64"/>
      <w:bookmarkEnd w:id="65"/>
    </w:p>
    <w:p w14:paraId="5286A863" w14:textId="5CB0584C" w:rsidR="001035B2" w:rsidRDefault="005B54BF" w:rsidP="005B54BF">
      <w:pPr>
        <w:widowControl/>
      </w:pPr>
      <w:r w:rsidRPr="00FC48A5">
        <w:t>The estimated mean and 90</w:t>
      </w:r>
      <w:r w:rsidRPr="00FC48A5">
        <w:rPr>
          <w:vertAlign w:val="superscript"/>
        </w:rPr>
        <w:t>th</w:t>
      </w:r>
      <w:r w:rsidRPr="00FC48A5">
        <w:t xml:space="preserve"> percentile dietary exposures to </w:t>
      </w:r>
      <w:r w:rsidR="00C27F2F">
        <w:rPr>
          <w:rFonts w:cs="Arial"/>
        </w:rPr>
        <w:t>Ace K</w:t>
      </w:r>
      <w:r w:rsidRPr="00FC48A5">
        <w:t xml:space="preserve"> for population groups </w:t>
      </w:r>
      <w:r w:rsidR="00AD35C7">
        <w:t>aged 12 years and over were</w:t>
      </w:r>
      <w:r w:rsidRPr="00FC48A5">
        <w:t xml:space="preserve"> well below the ADI</w:t>
      </w:r>
      <w:r>
        <w:t xml:space="preserve"> including when the </w:t>
      </w:r>
      <w:r w:rsidR="00A050E0">
        <w:t xml:space="preserve">increased MPL </w:t>
      </w:r>
      <w:r w:rsidR="00A050E0" w:rsidRPr="00DB1000">
        <w:rPr>
          <w:i/>
        </w:rPr>
        <w:t>Scenario</w:t>
      </w:r>
      <w:r>
        <w:t xml:space="preserve"> to </w:t>
      </w:r>
      <w:r w:rsidR="00EB1159" w:rsidRPr="00AE6D14">
        <w:rPr>
          <w:rFonts w:cs="Arial"/>
        </w:rPr>
        <w:t>intensely sweetened chewing gum</w:t>
      </w:r>
      <w:r>
        <w:t xml:space="preserve"> </w:t>
      </w:r>
      <w:r w:rsidR="00AD35C7">
        <w:t xml:space="preserve">was </w:t>
      </w:r>
      <w:r>
        <w:t>considered</w:t>
      </w:r>
      <w:r w:rsidRPr="00FC48A5">
        <w:t xml:space="preserve">. </w:t>
      </w:r>
      <w:r w:rsidR="00AD35C7">
        <w:t xml:space="preserve">As a </w:t>
      </w:r>
      <w:r w:rsidR="002004C1">
        <w:t xml:space="preserve">similar or lower </w:t>
      </w:r>
      <w:r w:rsidR="00AD35C7">
        <w:t xml:space="preserve">proportion of younger children </w:t>
      </w:r>
      <w:r w:rsidR="002004C1">
        <w:t xml:space="preserve">reported </w:t>
      </w:r>
      <w:r w:rsidR="00AD35C7">
        <w:t>consum</w:t>
      </w:r>
      <w:r w:rsidR="002004C1">
        <w:t>ing</w:t>
      </w:r>
      <w:r w:rsidR="00AD35C7">
        <w:t xml:space="preserve"> </w:t>
      </w:r>
      <w:r w:rsidR="00FB77B3">
        <w:t>intensely</w:t>
      </w:r>
      <w:r w:rsidR="00AD35C7">
        <w:t xml:space="preserve"> sweetened products </w:t>
      </w:r>
      <w:r w:rsidR="002004C1">
        <w:t xml:space="preserve">compared to </w:t>
      </w:r>
      <w:r w:rsidR="00AD35C7">
        <w:t xml:space="preserve">the population </w:t>
      </w:r>
      <w:r w:rsidR="002004C1">
        <w:t xml:space="preserve">aged 12 years and over </w:t>
      </w:r>
      <w:r w:rsidR="00AD35C7">
        <w:t xml:space="preserve">and </w:t>
      </w:r>
      <w:r w:rsidR="002004C1">
        <w:t>only</w:t>
      </w:r>
      <w:r w:rsidR="00AD35C7">
        <w:t xml:space="preserve"> </w:t>
      </w:r>
      <w:r w:rsidR="002004C1">
        <w:t>0</w:t>
      </w:r>
      <w:r w:rsidR="002A1327">
        <w:rPr>
          <w:rFonts w:cs="Arial"/>
        </w:rPr>
        <w:t>–</w:t>
      </w:r>
      <w:r w:rsidR="00AD35C7">
        <w:t xml:space="preserve">1% reported consuming </w:t>
      </w:r>
      <w:r w:rsidR="00FB77B3">
        <w:t>intensely</w:t>
      </w:r>
      <w:r w:rsidR="00AD35C7">
        <w:t xml:space="preserve"> sweetened gum in recent surveys, the impact on increasing the MPL for Ace K in chewing gum on </w:t>
      </w:r>
      <w:r w:rsidR="00A67636">
        <w:t>this</w:t>
      </w:r>
      <w:r w:rsidR="00AD35C7">
        <w:t xml:space="preserve"> age group is likely to be minimal. </w:t>
      </w:r>
      <w:r w:rsidR="0073513E">
        <w:t xml:space="preserve">While no information has been considered on the changes in food industry use of </w:t>
      </w:r>
      <w:r w:rsidR="00645788">
        <w:t>Ace </w:t>
      </w:r>
      <w:r w:rsidR="0073513E">
        <w:t xml:space="preserve">K since the 2004 sweetener survey, it is considered extremely unlikely that any changes would be of a degree that would result in estimated dietary exposures </w:t>
      </w:r>
      <w:r w:rsidR="002D7B3D">
        <w:t xml:space="preserve">for any population group in Australia or New Zealand </w:t>
      </w:r>
      <w:r w:rsidR="0073513E">
        <w:t>exceeding the ADI.</w:t>
      </w:r>
      <w:r w:rsidR="001035B2">
        <w:br w:type="page"/>
      </w:r>
    </w:p>
    <w:p w14:paraId="6E0D8274" w14:textId="77777777" w:rsidR="00F223EF" w:rsidRPr="00730981" w:rsidRDefault="002A1327" w:rsidP="00415ABA">
      <w:pPr>
        <w:pStyle w:val="Heading1"/>
        <w:rPr>
          <w:rFonts w:cs="Arial"/>
        </w:rPr>
      </w:pPr>
      <w:bookmarkStart w:id="66" w:name="_Toc427684483"/>
      <w:bookmarkEnd w:id="37"/>
      <w:bookmarkEnd w:id="38"/>
      <w:bookmarkEnd w:id="39"/>
      <w:r>
        <w:lastRenderedPageBreak/>
        <w:t>5</w:t>
      </w:r>
      <w:r>
        <w:tab/>
      </w:r>
      <w:r w:rsidR="00E2707C" w:rsidRPr="00E2707C">
        <w:t>R</w:t>
      </w:r>
      <w:r w:rsidRPr="00E2707C">
        <w:t>isk characterisation</w:t>
      </w:r>
      <w:bookmarkEnd w:id="66"/>
    </w:p>
    <w:p w14:paraId="6E0D8275" w14:textId="77777777" w:rsidR="0025401D" w:rsidRDefault="0025401D" w:rsidP="001713AF">
      <w:pPr>
        <w:rPr>
          <w:rFonts w:cs="Arial"/>
        </w:rPr>
      </w:pPr>
      <w:r>
        <w:rPr>
          <w:rFonts w:cs="Arial"/>
        </w:rPr>
        <w:t xml:space="preserve">The proposed increase in the MPL for Ace K in chewing gum </w:t>
      </w:r>
      <w:r w:rsidR="00975740">
        <w:rPr>
          <w:rFonts w:cs="Arial"/>
        </w:rPr>
        <w:t xml:space="preserve">from 2000 mg/kg to 5000 mg/kg </w:t>
      </w:r>
      <w:r>
        <w:rPr>
          <w:rFonts w:cs="Arial"/>
        </w:rPr>
        <w:t xml:space="preserve">results in estimated dietary exposure to Ace K that is </w:t>
      </w:r>
      <w:r w:rsidR="002D7B3D">
        <w:rPr>
          <w:rFonts w:cs="Arial"/>
        </w:rPr>
        <w:t xml:space="preserve">well </w:t>
      </w:r>
      <w:r>
        <w:rPr>
          <w:rFonts w:cs="Arial"/>
        </w:rPr>
        <w:t xml:space="preserve">below the </w:t>
      </w:r>
      <w:r w:rsidR="00975740">
        <w:rPr>
          <w:rFonts w:cs="Arial"/>
        </w:rPr>
        <w:t>ADI of 15 mg/kg bw</w:t>
      </w:r>
      <w:r>
        <w:rPr>
          <w:rFonts w:cs="Arial"/>
        </w:rPr>
        <w:t>. There are no public health and safety concerns associated with t</w:t>
      </w:r>
      <w:r w:rsidR="00975740">
        <w:rPr>
          <w:rFonts w:cs="Arial"/>
        </w:rPr>
        <w:t>he proposed increase in the MPL for Ace K in chewing gum.</w:t>
      </w:r>
    </w:p>
    <w:p w14:paraId="6E0D8276" w14:textId="77777777" w:rsidR="002A1327" w:rsidRPr="00E23629" w:rsidRDefault="002A1327" w:rsidP="001713AF">
      <w:pPr>
        <w:rPr>
          <w:rFonts w:cs="Arial"/>
        </w:rPr>
      </w:pPr>
    </w:p>
    <w:p w14:paraId="6E0D8277" w14:textId="77777777" w:rsidR="00AE75B4" w:rsidRPr="00AE75B4" w:rsidRDefault="00AE75B4" w:rsidP="00D90F8F">
      <w:pPr>
        <w:pStyle w:val="Heading1"/>
      </w:pPr>
      <w:bookmarkStart w:id="67" w:name="_Toc427684484"/>
      <w:r w:rsidRPr="00AE75B4">
        <w:t>6</w:t>
      </w:r>
      <w:r w:rsidRPr="00AE75B4">
        <w:tab/>
        <w:t>R</w:t>
      </w:r>
      <w:r w:rsidR="002A1327" w:rsidRPr="00AE75B4">
        <w:t>eferences</w:t>
      </w:r>
      <w:bookmarkEnd w:id="67"/>
    </w:p>
    <w:p w14:paraId="6E0D8278" w14:textId="77777777" w:rsidR="00967035" w:rsidRPr="00D90F8F" w:rsidRDefault="00967035" w:rsidP="00967035">
      <w:pPr>
        <w:rPr>
          <w:sz w:val="20"/>
          <w:szCs w:val="22"/>
        </w:rPr>
      </w:pPr>
      <w:r w:rsidRPr="00D90F8F">
        <w:rPr>
          <w:sz w:val="20"/>
        </w:rPr>
        <w:t>Australian Bureau of Statistics</w:t>
      </w:r>
      <w:r w:rsidRPr="00D90F8F">
        <w:rPr>
          <w:sz w:val="20"/>
          <w:szCs w:val="22"/>
        </w:rPr>
        <w:t xml:space="preserve"> (ABS 2014a</w:t>
      </w:r>
      <w:r w:rsidRPr="00D90F8F">
        <w:rPr>
          <w:sz w:val="20"/>
        </w:rPr>
        <w:t>)</w:t>
      </w:r>
      <w:r w:rsidRPr="00D90F8F">
        <w:rPr>
          <w:sz w:val="20"/>
          <w:szCs w:val="22"/>
        </w:rPr>
        <w:t>. National Nutrition and Physical Activity Survey, 2011-12, Basic CURF.</w:t>
      </w:r>
    </w:p>
    <w:p w14:paraId="6E0D8279" w14:textId="77777777" w:rsidR="00967035" w:rsidRPr="00D90F8F" w:rsidRDefault="00967035" w:rsidP="00967035">
      <w:pPr>
        <w:rPr>
          <w:sz w:val="20"/>
          <w:szCs w:val="22"/>
        </w:rPr>
      </w:pPr>
    </w:p>
    <w:p w14:paraId="6E0D827A" w14:textId="77777777" w:rsidR="00967035" w:rsidRPr="00D90F8F" w:rsidRDefault="00967035" w:rsidP="00967035">
      <w:pPr>
        <w:tabs>
          <w:tab w:val="left" w:pos="0"/>
        </w:tabs>
        <w:rPr>
          <w:rFonts w:cs="Arial"/>
          <w:noProof/>
          <w:sz w:val="20"/>
        </w:rPr>
      </w:pPr>
      <w:r w:rsidRPr="00D90F8F">
        <w:rPr>
          <w:sz w:val="20"/>
        </w:rPr>
        <w:t>Australian Bureau of Statistics</w:t>
      </w:r>
      <w:r w:rsidRPr="00D90F8F">
        <w:rPr>
          <w:rFonts w:cs="Arial"/>
          <w:noProof/>
          <w:sz w:val="20"/>
        </w:rPr>
        <w:t xml:space="preserve"> (ABS 2014b) Australian Health Survey: Nutrition First Results - Foods and Nutrients, 2011-12 - Australia - Table 4.3 Proportion of person consuming food (%).</w:t>
      </w:r>
    </w:p>
    <w:p w14:paraId="6E0D827B" w14:textId="77777777" w:rsidR="00967035" w:rsidRPr="00D90F8F" w:rsidRDefault="00FB77B3" w:rsidP="00967035">
      <w:pPr>
        <w:tabs>
          <w:tab w:val="left" w:pos="0"/>
        </w:tabs>
        <w:rPr>
          <w:rFonts w:cs="Arial"/>
          <w:noProof/>
          <w:sz w:val="20"/>
        </w:rPr>
      </w:pPr>
      <w:hyperlink r:id="rId23" w:history="1">
        <w:r w:rsidR="00967035" w:rsidRPr="00D90F8F">
          <w:rPr>
            <w:rStyle w:val="Hyperlink"/>
            <w:rFonts w:cs="Arial"/>
            <w:noProof/>
            <w:sz w:val="20"/>
          </w:rPr>
          <w:t>http://www.abs.gov.au/AUSSTATS/abs@.nsf/DetailsPage/4364.0.55.0072011-12?OpenDocument</w:t>
        </w:r>
      </w:hyperlink>
      <w:r w:rsidR="00967035" w:rsidRPr="00D90F8F">
        <w:rPr>
          <w:rFonts w:cs="Arial"/>
          <w:noProof/>
          <w:sz w:val="20"/>
        </w:rPr>
        <w:t xml:space="preserve">. </w:t>
      </w:r>
    </w:p>
    <w:p w14:paraId="6E0D827C" w14:textId="77777777" w:rsidR="00AE75B4" w:rsidRPr="00D90F8F" w:rsidRDefault="00AE75B4" w:rsidP="001713AF">
      <w:pPr>
        <w:widowControl/>
        <w:rPr>
          <w:sz w:val="20"/>
          <w:szCs w:val="22"/>
        </w:rPr>
      </w:pPr>
    </w:p>
    <w:p w14:paraId="6E0D827D" w14:textId="77777777" w:rsidR="00AE75B4" w:rsidRPr="00D90F8F" w:rsidRDefault="004B69A7" w:rsidP="00AE75B4">
      <w:pPr>
        <w:rPr>
          <w:sz w:val="20"/>
          <w:szCs w:val="22"/>
        </w:rPr>
      </w:pPr>
      <w:r w:rsidRPr="00D90F8F">
        <w:rPr>
          <w:sz w:val="20"/>
          <w:szCs w:val="22"/>
        </w:rPr>
        <w:t xml:space="preserve">FAO (2001) </w:t>
      </w:r>
      <w:r w:rsidR="00AE75B4" w:rsidRPr="00D90F8F">
        <w:rPr>
          <w:sz w:val="20"/>
          <w:szCs w:val="22"/>
        </w:rPr>
        <w:t xml:space="preserve">Joint FAO/WHO Expert Committee on Food Additives (JECFA) Compendium of Food Additive Specifications FAO Food and Nutrition Paper No. 52, Addendum 9, (2001), FAO, Rome, Acesulfame potassium. Online Edition to search: </w:t>
      </w:r>
    </w:p>
    <w:p w14:paraId="6E0D827E" w14:textId="77777777" w:rsidR="00AE75B4" w:rsidRPr="00D90F8F" w:rsidRDefault="00FB77B3" w:rsidP="00AE75B4">
      <w:pPr>
        <w:rPr>
          <w:sz w:val="20"/>
          <w:szCs w:val="22"/>
        </w:rPr>
      </w:pPr>
      <w:hyperlink r:id="rId24" w:history="1">
        <w:r w:rsidR="00AE75B4" w:rsidRPr="00D90F8F">
          <w:rPr>
            <w:color w:val="3333FF"/>
            <w:sz w:val="20"/>
            <w:szCs w:val="22"/>
            <w:u w:val="single"/>
          </w:rPr>
          <w:t>http://www.fao.org/food/food-safety-quality/scientific-advice/jecfa/jecfa-additives/en/</w:t>
        </w:r>
      </w:hyperlink>
    </w:p>
    <w:p w14:paraId="6E0D827F" w14:textId="77777777" w:rsidR="00AE75B4" w:rsidRPr="00D90F8F" w:rsidRDefault="00AE75B4" w:rsidP="00AE75B4">
      <w:pPr>
        <w:rPr>
          <w:sz w:val="20"/>
          <w:szCs w:val="22"/>
          <w:lang w:bidi="ar-SA"/>
        </w:rPr>
      </w:pPr>
    </w:p>
    <w:p w14:paraId="6E0D8280" w14:textId="77777777" w:rsidR="00AE75B4" w:rsidRPr="00D90F8F" w:rsidRDefault="00AE75B4" w:rsidP="00AE75B4">
      <w:pPr>
        <w:rPr>
          <w:sz w:val="20"/>
          <w:szCs w:val="22"/>
          <w:lang w:bidi="ar-SA"/>
        </w:rPr>
      </w:pPr>
      <w:r w:rsidRPr="00D90F8F">
        <w:rPr>
          <w:sz w:val="20"/>
          <w:szCs w:val="22"/>
          <w:lang w:bidi="ar-SA"/>
        </w:rPr>
        <w:t>Food Chemicals Codex (9</w:t>
      </w:r>
      <w:r w:rsidRPr="00D90F8F">
        <w:rPr>
          <w:sz w:val="20"/>
          <w:szCs w:val="22"/>
          <w:vertAlign w:val="superscript"/>
          <w:lang w:bidi="ar-SA"/>
        </w:rPr>
        <w:t>th</w:t>
      </w:r>
      <w:r w:rsidRPr="00D90F8F">
        <w:rPr>
          <w:sz w:val="20"/>
          <w:szCs w:val="22"/>
          <w:lang w:bidi="ar-SA"/>
        </w:rPr>
        <w:t xml:space="preserve"> Ed), (2014) Acesulfame Potassium, United States Pharmacopeial Convention, Rockville, MD.</w:t>
      </w:r>
    </w:p>
    <w:p w14:paraId="6E0D8281" w14:textId="77777777" w:rsidR="00967035" w:rsidRPr="00D90F8F" w:rsidRDefault="00967035" w:rsidP="00AE75B4">
      <w:pPr>
        <w:rPr>
          <w:sz w:val="20"/>
          <w:szCs w:val="22"/>
          <w:lang w:bidi="ar-SA"/>
        </w:rPr>
      </w:pPr>
    </w:p>
    <w:p w14:paraId="6E0D8282" w14:textId="77777777" w:rsidR="00967035" w:rsidRPr="00D90F8F" w:rsidRDefault="00967035" w:rsidP="00967035">
      <w:pPr>
        <w:tabs>
          <w:tab w:val="left" w:pos="0"/>
        </w:tabs>
        <w:rPr>
          <w:rFonts w:cs="Arial"/>
          <w:noProof/>
          <w:sz w:val="20"/>
        </w:rPr>
      </w:pPr>
      <w:r w:rsidRPr="00D90F8F">
        <w:rPr>
          <w:rFonts w:cs="Arial"/>
          <w:noProof/>
          <w:sz w:val="20"/>
        </w:rPr>
        <w:t xml:space="preserve">FSANZ (2004) Consumption of intense sweeteners in Australia and New Zealand. Benchmark Survey 2003. Evaluation Report Series No. 8. Food Standards Australia New Zealand. </w:t>
      </w:r>
    </w:p>
    <w:p w14:paraId="6E0D8283" w14:textId="77777777" w:rsidR="00967035" w:rsidRPr="00D90F8F" w:rsidRDefault="00FB77B3" w:rsidP="00967035">
      <w:pPr>
        <w:rPr>
          <w:sz w:val="20"/>
          <w:szCs w:val="22"/>
        </w:rPr>
      </w:pPr>
      <w:hyperlink r:id="rId25" w:history="1">
        <w:r w:rsidR="00967035" w:rsidRPr="00D90F8F">
          <w:rPr>
            <w:rStyle w:val="Hyperlink"/>
            <w:sz w:val="20"/>
            <w:szCs w:val="22"/>
          </w:rPr>
          <w:t>http://www.foodstandards.gov.au/publications/documents/Intense_sweetener_Report_feb04.pdf</w:t>
        </w:r>
      </w:hyperlink>
    </w:p>
    <w:p w14:paraId="6E0D8284" w14:textId="77777777" w:rsidR="00967035" w:rsidRPr="00D90F8F" w:rsidRDefault="00967035" w:rsidP="00967035">
      <w:pPr>
        <w:rPr>
          <w:sz w:val="20"/>
          <w:szCs w:val="22"/>
          <w:highlight w:val="yellow"/>
        </w:rPr>
      </w:pPr>
    </w:p>
    <w:p w14:paraId="6E0D8285" w14:textId="77777777" w:rsidR="00967035" w:rsidRPr="00D90F8F" w:rsidRDefault="00967035" w:rsidP="00967035">
      <w:pPr>
        <w:rPr>
          <w:sz w:val="20"/>
        </w:rPr>
      </w:pPr>
      <w:r w:rsidRPr="00D90F8F">
        <w:rPr>
          <w:rFonts w:cs="Arial"/>
          <w:sz w:val="20"/>
          <w:szCs w:val="22"/>
        </w:rPr>
        <w:t xml:space="preserve">FSANZ (2009) Principles and Practices of Dietary Exposure Assessment for Food Regulatory Purposes. </w:t>
      </w:r>
    </w:p>
    <w:p w14:paraId="6E0D8286" w14:textId="77777777" w:rsidR="00967035" w:rsidRPr="00D90F8F" w:rsidRDefault="00FB77B3" w:rsidP="00967035">
      <w:pPr>
        <w:rPr>
          <w:rStyle w:val="Hyperlink"/>
          <w:rFonts w:cs="Arial"/>
          <w:sz w:val="20"/>
          <w:szCs w:val="22"/>
        </w:rPr>
      </w:pPr>
      <w:hyperlink r:id="rId26" w:history="1">
        <w:r w:rsidR="00967035" w:rsidRPr="00D90F8F">
          <w:rPr>
            <w:rStyle w:val="Hyperlink"/>
            <w:rFonts w:cs="Arial"/>
            <w:sz w:val="20"/>
            <w:szCs w:val="22"/>
          </w:rPr>
          <w:t>http://www.foodstandards.gov.au/science/exposure/documents/Principles%20_%20practices%20exposure%20assessment%202009.pdf</w:t>
        </w:r>
      </w:hyperlink>
      <w:r w:rsidR="00967035" w:rsidRPr="00D90F8F">
        <w:rPr>
          <w:rStyle w:val="Hyperlink"/>
          <w:rFonts w:cs="Arial"/>
          <w:sz w:val="20"/>
          <w:szCs w:val="22"/>
        </w:rPr>
        <w:t xml:space="preserve"> </w:t>
      </w:r>
    </w:p>
    <w:p w14:paraId="6E0D8287" w14:textId="77777777" w:rsidR="00967035" w:rsidRPr="00D90F8F" w:rsidRDefault="00967035" w:rsidP="00967035">
      <w:pPr>
        <w:rPr>
          <w:sz w:val="20"/>
          <w:szCs w:val="22"/>
          <w:highlight w:val="yellow"/>
        </w:rPr>
      </w:pPr>
    </w:p>
    <w:p w14:paraId="6E0D8288" w14:textId="77777777" w:rsidR="00967035" w:rsidRPr="00D90F8F" w:rsidRDefault="00967035" w:rsidP="00967035">
      <w:pPr>
        <w:rPr>
          <w:rStyle w:val="Hyperlink"/>
          <w:rFonts w:cs="Arial"/>
          <w:color w:val="auto"/>
          <w:sz w:val="20"/>
          <w:szCs w:val="22"/>
        </w:rPr>
      </w:pPr>
      <w:r w:rsidRPr="00D90F8F">
        <w:rPr>
          <w:rStyle w:val="Hyperlink"/>
          <w:rFonts w:cs="Arial"/>
          <w:color w:val="auto"/>
          <w:sz w:val="20"/>
          <w:szCs w:val="22"/>
        </w:rPr>
        <w:t>FSANZ (2014) Protecting 'high consumers'.</w:t>
      </w:r>
    </w:p>
    <w:p w14:paraId="6E0D8289" w14:textId="77777777" w:rsidR="00967035" w:rsidRPr="00D90F8F" w:rsidRDefault="00FB77B3" w:rsidP="00967035">
      <w:pPr>
        <w:tabs>
          <w:tab w:val="left" w:pos="0"/>
        </w:tabs>
        <w:rPr>
          <w:rFonts w:cs="Arial"/>
          <w:noProof/>
          <w:sz w:val="20"/>
        </w:rPr>
      </w:pPr>
      <w:hyperlink r:id="rId27" w:history="1">
        <w:r w:rsidR="00967035" w:rsidRPr="00D90F8F">
          <w:rPr>
            <w:rStyle w:val="Hyperlink"/>
            <w:rFonts w:cs="Arial"/>
            <w:sz w:val="20"/>
            <w:szCs w:val="22"/>
          </w:rPr>
          <w:t>http://www.foodstandards.gov.au/science/exposure/Pages/protectinghighconsum4441.aspx</w:t>
        </w:r>
      </w:hyperlink>
      <w:r w:rsidR="00967035" w:rsidRPr="00D90F8F">
        <w:rPr>
          <w:rFonts w:cs="Arial"/>
          <w:noProof/>
          <w:sz w:val="20"/>
        </w:rPr>
        <w:t xml:space="preserve"> </w:t>
      </w:r>
    </w:p>
    <w:p w14:paraId="6E0D828A" w14:textId="77777777" w:rsidR="00967035" w:rsidRPr="00D90F8F" w:rsidRDefault="00967035" w:rsidP="00967035">
      <w:pPr>
        <w:tabs>
          <w:tab w:val="left" w:pos="0"/>
        </w:tabs>
        <w:rPr>
          <w:rFonts w:cs="Arial"/>
          <w:noProof/>
          <w:sz w:val="20"/>
        </w:rPr>
      </w:pPr>
    </w:p>
    <w:p w14:paraId="6E0D828B" w14:textId="77777777" w:rsidR="00AE75B4" w:rsidRPr="00D90F8F" w:rsidRDefault="00AE75B4" w:rsidP="00AE75B4">
      <w:pPr>
        <w:rPr>
          <w:sz w:val="20"/>
          <w:szCs w:val="22"/>
          <w:lang w:bidi="ar-SA"/>
        </w:rPr>
      </w:pPr>
      <w:r w:rsidRPr="00D90F8F">
        <w:rPr>
          <w:sz w:val="20"/>
          <w:szCs w:val="22"/>
          <w:lang w:bidi="ar-SA"/>
        </w:rPr>
        <w:t>Haber B, von Rymon Lipinski G-W, Rathjen S (2006) Acesulfame K</w:t>
      </w:r>
      <w:r w:rsidR="00E1243F" w:rsidRPr="00D90F8F">
        <w:rPr>
          <w:sz w:val="20"/>
          <w:szCs w:val="22"/>
          <w:lang w:bidi="ar-SA"/>
        </w:rPr>
        <w:t>.</w:t>
      </w:r>
      <w:r w:rsidRPr="00D90F8F">
        <w:rPr>
          <w:sz w:val="20"/>
          <w:szCs w:val="22"/>
          <w:lang w:bidi="ar-SA"/>
        </w:rPr>
        <w:t xml:space="preserve"> Ch 5 In: Mitchell H (ed) Sweeteners and sugar alternatives in food technology. Blackwell Publishing Ltd, pp 65-85.</w:t>
      </w:r>
    </w:p>
    <w:p w14:paraId="6E0D828C" w14:textId="77777777" w:rsidR="00AE75B4" w:rsidRPr="00D90F8F" w:rsidRDefault="00AE75B4" w:rsidP="00AE75B4">
      <w:pPr>
        <w:rPr>
          <w:sz w:val="20"/>
          <w:szCs w:val="22"/>
          <w:lang w:bidi="ar-SA"/>
        </w:rPr>
      </w:pPr>
    </w:p>
    <w:p w14:paraId="6E0D828D" w14:textId="77777777" w:rsidR="00967035" w:rsidRPr="00D90F8F" w:rsidRDefault="00967035" w:rsidP="00967035">
      <w:pPr>
        <w:tabs>
          <w:tab w:val="left" w:pos="0"/>
        </w:tabs>
        <w:rPr>
          <w:rFonts w:cs="Arial"/>
          <w:noProof/>
          <w:sz w:val="20"/>
        </w:rPr>
      </w:pPr>
      <w:r w:rsidRPr="00D90F8F">
        <w:rPr>
          <w:rFonts w:cs="Arial"/>
          <w:noProof/>
          <w:sz w:val="20"/>
        </w:rPr>
        <w:t>National Food Authority (1995) Survey of intense sweetener consumption in Australia - Roy Morgan Research Report. Final Report. Commonwealth of Australia, Canberra.</w:t>
      </w:r>
    </w:p>
    <w:p w14:paraId="6E0D828E" w14:textId="77777777" w:rsidR="00967035" w:rsidRPr="00D90F8F" w:rsidRDefault="00967035" w:rsidP="00967035">
      <w:pPr>
        <w:widowControl/>
        <w:rPr>
          <w:sz w:val="20"/>
        </w:rPr>
      </w:pPr>
    </w:p>
    <w:p w14:paraId="6E0D828F" w14:textId="77777777" w:rsidR="00967035" w:rsidRPr="00D90F8F" w:rsidRDefault="00967035" w:rsidP="00967035">
      <w:pPr>
        <w:widowControl/>
        <w:rPr>
          <w:sz w:val="20"/>
        </w:rPr>
      </w:pPr>
      <w:r w:rsidRPr="00D90F8F">
        <w:rPr>
          <w:sz w:val="20"/>
        </w:rPr>
        <w:t>NTP (2005) NTP toxicology studies of acesulfame potassium (CAS No. 55589-62-3) in genetically modified (FVB Tg.AC Hemizygous) mice and carcinogenicity studies of acesulfame potassium in genetically modified [B6.129-Trp53(tm1Brd) (N5) Haploinsufficient] mice (feed studies). Natl Toxicol Program Genet Modif Model Rep. (2):1-113.</w:t>
      </w:r>
    </w:p>
    <w:p w14:paraId="6E0D8290" w14:textId="77777777" w:rsidR="00967035" w:rsidRPr="00D90F8F" w:rsidRDefault="00FB77B3" w:rsidP="00967035">
      <w:pPr>
        <w:widowControl/>
        <w:rPr>
          <w:sz w:val="20"/>
        </w:rPr>
      </w:pPr>
      <w:hyperlink r:id="rId28" w:history="1">
        <w:r w:rsidR="00967035" w:rsidRPr="00D90F8F">
          <w:rPr>
            <w:rStyle w:val="Hyperlink"/>
            <w:sz w:val="20"/>
          </w:rPr>
          <w:t>http://ntp.niehs.nih.gov/testing/types/altmodels/reports/gmm02/index.html</w:t>
        </w:r>
      </w:hyperlink>
    </w:p>
    <w:p w14:paraId="6E0D8291" w14:textId="77777777" w:rsidR="00967035" w:rsidRPr="00D90F8F" w:rsidRDefault="00967035" w:rsidP="00AE75B4">
      <w:pPr>
        <w:rPr>
          <w:sz w:val="20"/>
          <w:szCs w:val="22"/>
          <w:lang w:bidi="ar-SA"/>
        </w:rPr>
      </w:pPr>
    </w:p>
    <w:p w14:paraId="6E0D8292" w14:textId="77777777" w:rsidR="00AE75B4" w:rsidRPr="00D90F8F" w:rsidRDefault="00AE75B4" w:rsidP="00AE75B4">
      <w:pPr>
        <w:rPr>
          <w:sz w:val="20"/>
          <w:szCs w:val="22"/>
          <w:lang w:bidi="ar-SA"/>
        </w:rPr>
      </w:pPr>
      <w:r w:rsidRPr="00D90F8F">
        <w:rPr>
          <w:sz w:val="20"/>
          <w:szCs w:val="22"/>
          <w:lang w:bidi="ar-SA"/>
        </w:rPr>
        <w:t>von Rymon Lipinski G-W, Hanger LY (2001) Acesulfame K</w:t>
      </w:r>
      <w:r w:rsidR="00E1243F" w:rsidRPr="00D90F8F">
        <w:rPr>
          <w:sz w:val="20"/>
          <w:szCs w:val="22"/>
          <w:lang w:bidi="ar-SA"/>
        </w:rPr>
        <w:t>.</w:t>
      </w:r>
      <w:r w:rsidRPr="00D90F8F">
        <w:rPr>
          <w:sz w:val="20"/>
          <w:szCs w:val="22"/>
          <w:lang w:bidi="ar-SA"/>
        </w:rPr>
        <w:t xml:space="preserve"> Ch 2 In: </w:t>
      </w:r>
      <w:r w:rsidR="005B4429" w:rsidRPr="00D90F8F">
        <w:rPr>
          <w:sz w:val="20"/>
          <w:szCs w:val="22"/>
          <w:lang w:bidi="ar-SA"/>
        </w:rPr>
        <w:t>O’Brien-Nabors L</w:t>
      </w:r>
      <w:r w:rsidRPr="00D90F8F">
        <w:rPr>
          <w:sz w:val="20"/>
          <w:szCs w:val="22"/>
          <w:lang w:bidi="ar-SA"/>
        </w:rPr>
        <w:t xml:space="preserve"> (ed) Alternative Sweeteners. Third ed, Marcel Dekker, Inc., New York, pp 13-30.</w:t>
      </w:r>
    </w:p>
    <w:p w14:paraId="6E0D8293" w14:textId="77777777" w:rsidR="008D4ECC" w:rsidRPr="00D90F8F" w:rsidRDefault="008D4ECC" w:rsidP="001713AF">
      <w:pPr>
        <w:widowControl/>
        <w:rPr>
          <w:sz w:val="20"/>
        </w:rPr>
      </w:pPr>
    </w:p>
    <w:p w14:paraId="6E0D8294" w14:textId="77777777" w:rsidR="002A1327" w:rsidRDefault="002A1327" w:rsidP="001713AF">
      <w:pPr>
        <w:widowControl/>
        <w:rPr>
          <w:sz w:val="20"/>
        </w:rPr>
      </w:pPr>
      <w:r>
        <w:rPr>
          <w:sz w:val="20"/>
        </w:rPr>
        <w:br w:type="page"/>
      </w:r>
    </w:p>
    <w:p w14:paraId="6E0D8295" w14:textId="77777777" w:rsidR="00592AB8" w:rsidRPr="00D90F8F" w:rsidRDefault="00592AB8" w:rsidP="001713AF">
      <w:pPr>
        <w:widowControl/>
        <w:rPr>
          <w:sz w:val="20"/>
        </w:rPr>
      </w:pPr>
      <w:r w:rsidRPr="00D90F8F">
        <w:rPr>
          <w:sz w:val="20"/>
        </w:rPr>
        <w:lastRenderedPageBreak/>
        <w:t>WHO (1981</w:t>
      </w:r>
      <w:r w:rsidR="008331A0" w:rsidRPr="00D90F8F">
        <w:rPr>
          <w:sz w:val="20"/>
        </w:rPr>
        <w:t>a</w:t>
      </w:r>
      <w:r w:rsidRPr="00D90F8F">
        <w:rPr>
          <w:sz w:val="20"/>
        </w:rPr>
        <w:t>) Evaluation of certain f</w:t>
      </w:r>
      <w:r w:rsidR="00980BA8" w:rsidRPr="00D90F8F">
        <w:rPr>
          <w:sz w:val="20"/>
        </w:rPr>
        <w:t>ood additives</w:t>
      </w:r>
      <w:r w:rsidRPr="00D90F8F">
        <w:rPr>
          <w:sz w:val="20"/>
        </w:rPr>
        <w:t xml:space="preserve">. </w:t>
      </w:r>
      <w:r w:rsidR="00980BA8" w:rsidRPr="00D90F8F">
        <w:rPr>
          <w:sz w:val="20"/>
        </w:rPr>
        <w:t>Twenty-fifth</w:t>
      </w:r>
      <w:r w:rsidRPr="00D90F8F">
        <w:rPr>
          <w:sz w:val="20"/>
        </w:rPr>
        <w:t xml:space="preserve"> report of the Joint FAO/WHO Exp</w:t>
      </w:r>
      <w:r w:rsidR="00980BA8" w:rsidRPr="00D90F8F">
        <w:rPr>
          <w:sz w:val="20"/>
        </w:rPr>
        <w:t>ert Committee on Food Additives</w:t>
      </w:r>
      <w:r w:rsidRPr="00D90F8F">
        <w:rPr>
          <w:sz w:val="20"/>
        </w:rPr>
        <w:t>. WHO Technical Report Series, No. 669.</w:t>
      </w:r>
    </w:p>
    <w:p w14:paraId="6E0D8296" w14:textId="77777777" w:rsidR="00980BA8" w:rsidRPr="00D90F8F" w:rsidRDefault="00FB77B3" w:rsidP="001713AF">
      <w:pPr>
        <w:widowControl/>
        <w:rPr>
          <w:sz w:val="20"/>
        </w:rPr>
      </w:pPr>
      <w:hyperlink r:id="rId29" w:history="1">
        <w:r w:rsidR="00980BA8" w:rsidRPr="00D90F8F">
          <w:rPr>
            <w:rStyle w:val="Hyperlink"/>
            <w:sz w:val="20"/>
          </w:rPr>
          <w:t>http://whqlibdoc.who.int/trs/WHO_TRS_669.pdf</w:t>
        </w:r>
      </w:hyperlink>
    </w:p>
    <w:p w14:paraId="6E0D8297" w14:textId="77777777" w:rsidR="00592AB8" w:rsidRPr="00D90F8F" w:rsidRDefault="00592AB8" w:rsidP="001713AF">
      <w:pPr>
        <w:widowControl/>
        <w:rPr>
          <w:sz w:val="20"/>
        </w:rPr>
      </w:pPr>
    </w:p>
    <w:p w14:paraId="6E0D8298" w14:textId="77777777" w:rsidR="005F53C4" w:rsidRPr="00D90F8F" w:rsidRDefault="005F53C4" w:rsidP="001713AF">
      <w:pPr>
        <w:widowControl/>
        <w:rPr>
          <w:sz w:val="20"/>
        </w:rPr>
      </w:pPr>
      <w:r w:rsidRPr="00D90F8F">
        <w:rPr>
          <w:sz w:val="20"/>
        </w:rPr>
        <w:t xml:space="preserve">WHO (1981b) Evaluation of certain food additives. </w:t>
      </w:r>
      <w:r w:rsidR="008331A0" w:rsidRPr="00D90F8F">
        <w:rPr>
          <w:sz w:val="20"/>
        </w:rPr>
        <w:t>WHO Food Additives Series 16</w:t>
      </w:r>
      <w:r w:rsidRPr="00D90F8F">
        <w:rPr>
          <w:sz w:val="20"/>
        </w:rPr>
        <w:t xml:space="preserve">. </w:t>
      </w:r>
      <w:r w:rsidR="008331A0" w:rsidRPr="00D90F8F">
        <w:rPr>
          <w:sz w:val="20"/>
        </w:rPr>
        <w:t xml:space="preserve">Acesulfame potassium. </w:t>
      </w:r>
      <w:hyperlink r:id="rId30" w:history="1">
        <w:r w:rsidRPr="00D90F8F">
          <w:rPr>
            <w:rStyle w:val="Hyperlink"/>
            <w:sz w:val="20"/>
          </w:rPr>
          <w:t>http://www.inchem.org/documents/jecfa/jecmono/v16je02.htm</w:t>
        </w:r>
      </w:hyperlink>
    </w:p>
    <w:p w14:paraId="6E0D8299" w14:textId="77777777" w:rsidR="005F53C4" w:rsidRPr="00D90F8F" w:rsidRDefault="005F53C4" w:rsidP="001713AF">
      <w:pPr>
        <w:widowControl/>
        <w:rPr>
          <w:sz w:val="20"/>
        </w:rPr>
      </w:pPr>
    </w:p>
    <w:p w14:paraId="6E0D829A" w14:textId="77777777" w:rsidR="00271CF2" w:rsidRPr="00D90F8F" w:rsidRDefault="00271CF2" w:rsidP="001713AF">
      <w:pPr>
        <w:widowControl/>
        <w:rPr>
          <w:rStyle w:val="Hyperlink"/>
          <w:sz w:val="20"/>
        </w:rPr>
      </w:pPr>
      <w:r w:rsidRPr="00D90F8F">
        <w:rPr>
          <w:sz w:val="20"/>
        </w:rPr>
        <w:t>WHO (1983</w:t>
      </w:r>
      <w:r w:rsidR="003C67F5" w:rsidRPr="00D90F8F">
        <w:rPr>
          <w:sz w:val="20"/>
        </w:rPr>
        <w:t>a</w:t>
      </w:r>
      <w:r w:rsidRPr="00D90F8F">
        <w:rPr>
          <w:sz w:val="20"/>
        </w:rPr>
        <w:t>) Evaluation of certain food additives and contaminants. Twenty-seventh report of the Joint FAO/WHO Exp</w:t>
      </w:r>
      <w:r w:rsidR="00980BA8" w:rsidRPr="00D90F8F">
        <w:rPr>
          <w:sz w:val="20"/>
        </w:rPr>
        <w:t>ert Committee on Food Additives</w:t>
      </w:r>
      <w:r w:rsidRPr="00D90F8F">
        <w:rPr>
          <w:sz w:val="20"/>
        </w:rPr>
        <w:t xml:space="preserve">. WHO Technical Report Series, No. 696. </w:t>
      </w:r>
      <w:hyperlink r:id="rId31" w:history="1">
        <w:r w:rsidRPr="00D90F8F">
          <w:rPr>
            <w:rStyle w:val="Hyperlink"/>
            <w:sz w:val="20"/>
          </w:rPr>
          <w:t>http://whqlibdoc.who.int/trs/WHO_TRS_696.pdf</w:t>
        </w:r>
      </w:hyperlink>
    </w:p>
    <w:p w14:paraId="6E0D829B" w14:textId="77777777" w:rsidR="00A514D4" w:rsidRPr="00D90F8F" w:rsidRDefault="00A514D4" w:rsidP="001713AF">
      <w:pPr>
        <w:widowControl/>
        <w:rPr>
          <w:sz w:val="20"/>
        </w:rPr>
      </w:pPr>
    </w:p>
    <w:p w14:paraId="6E0D829C" w14:textId="77777777" w:rsidR="00A514D4" w:rsidRPr="00D90F8F" w:rsidRDefault="00A514D4" w:rsidP="001713AF">
      <w:pPr>
        <w:widowControl/>
        <w:rPr>
          <w:sz w:val="20"/>
        </w:rPr>
      </w:pPr>
      <w:r w:rsidRPr="00D90F8F">
        <w:rPr>
          <w:sz w:val="20"/>
        </w:rPr>
        <w:t>WHO (1983b) Evaluation of certain food additives and contaminants. WHO Food Additives Series, No. 18. Acesulfame potassium.</w:t>
      </w:r>
      <w:r w:rsidR="005F53C4" w:rsidRPr="00D90F8F">
        <w:rPr>
          <w:sz w:val="20"/>
        </w:rPr>
        <w:t xml:space="preserve"> </w:t>
      </w:r>
      <w:hyperlink r:id="rId32" w:history="1">
        <w:r w:rsidRPr="00D90F8F">
          <w:rPr>
            <w:rStyle w:val="Hyperlink"/>
            <w:sz w:val="20"/>
          </w:rPr>
          <w:t>http://www.inchem.org/documents/jecfa/jecmono/v18je02.htm</w:t>
        </w:r>
      </w:hyperlink>
    </w:p>
    <w:p w14:paraId="6E0D829D" w14:textId="77777777" w:rsidR="00271CF2" w:rsidRPr="00D90F8F" w:rsidRDefault="00271CF2" w:rsidP="001713AF">
      <w:pPr>
        <w:widowControl/>
        <w:rPr>
          <w:sz w:val="20"/>
        </w:rPr>
      </w:pPr>
    </w:p>
    <w:p w14:paraId="6E0D829E" w14:textId="77777777" w:rsidR="00106CB7" w:rsidRPr="00D90F8F" w:rsidRDefault="00106CB7" w:rsidP="001713AF">
      <w:pPr>
        <w:widowControl/>
        <w:rPr>
          <w:sz w:val="20"/>
        </w:rPr>
      </w:pPr>
      <w:r w:rsidRPr="00D90F8F">
        <w:rPr>
          <w:sz w:val="20"/>
        </w:rPr>
        <w:t xml:space="preserve">WHO (1991) Evaluation of </w:t>
      </w:r>
      <w:r w:rsidR="006965E4" w:rsidRPr="00D90F8F">
        <w:rPr>
          <w:sz w:val="20"/>
        </w:rPr>
        <w:t>c</w:t>
      </w:r>
      <w:r w:rsidRPr="00D90F8F">
        <w:rPr>
          <w:sz w:val="20"/>
        </w:rPr>
        <w:t>ertain food additives and contaminants</w:t>
      </w:r>
      <w:r w:rsidR="006965E4" w:rsidRPr="00D90F8F">
        <w:rPr>
          <w:sz w:val="20"/>
        </w:rPr>
        <w:t>. Thirty-seventh report of the Joint FAO/WHO Expert Committee on Food Additives. WHO Technical Report Series</w:t>
      </w:r>
      <w:r w:rsidR="00271CF2" w:rsidRPr="00D90F8F">
        <w:rPr>
          <w:sz w:val="20"/>
        </w:rPr>
        <w:t>,</w:t>
      </w:r>
      <w:r w:rsidR="006965E4" w:rsidRPr="00D90F8F">
        <w:rPr>
          <w:sz w:val="20"/>
        </w:rPr>
        <w:t xml:space="preserve"> No. 806. </w:t>
      </w:r>
      <w:hyperlink r:id="rId33" w:history="1">
        <w:r w:rsidRPr="00D90F8F">
          <w:rPr>
            <w:rStyle w:val="Hyperlink"/>
            <w:sz w:val="20"/>
          </w:rPr>
          <w:t>http://whqlibdoc.who.int/trs/WHO_TRS_806.pdf</w:t>
        </w:r>
      </w:hyperlink>
    </w:p>
    <w:p w14:paraId="6E0D829F" w14:textId="77777777" w:rsidR="00106CB7" w:rsidRPr="00D90F8F" w:rsidRDefault="00106CB7" w:rsidP="001713AF">
      <w:pPr>
        <w:widowControl/>
        <w:rPr>
          <w:sz w:val="20"/>
          <w:highlight w:val="yellow"/>
        </w:rPr>
      </w:pPr>
    </w:p>
    <w:p w14:paraId="6E0D82A0" w14:textId="77777777" w:rsidR="00106CB7" w:rsidRDefault="00106CB7" w:rsidP="001713AF">
      <w:pPr>
        <w:widowControl/>
        <w:rPr>
          <w:highlight w:val="yellow"/>
        </w:rPr>
      </w:pPr>
    </w:p>
    <w:p w14:paraId="6E0D82A1" w14:textId="77777777" w:rsidR="00F223EF" w:rsidRPr="00486D31" w:rsidRDefault="00F223EF" w:rsidP="001713AF">
      <w:pPr>
        <w:widowControl/>
        <w:rPr>
          <w:rFonts w:cs="Arial"/>
          <w:b/>
          <w:bCs/>
          <w:kern w:val="36"/>
          <w:sz w:val="36"/>
          <w:szCs w:val="36"/>
          <w:highlight w:val="yellow"/>
          <w:u w:val="single"/>
          <w:lang w:val="en-AU" w:eastAsia="en-AU"/>
        </w:rPr>
      </w:pPr>
      <w:r w:rsidRPr="00486D31">
        <w:rPr>
          <w:highlight w:val="yellow"/>
        </w:rPr>
        <w:br w:type="page"/>
      </w:r>
    </w:p>
    <w:p w14:paraId="6E0D82A2" w14:textId="77777777" w:rsidR="00F223EF" w:rsidRPr="00C66F07" w:rsidRDefault="00F223EF" w:rsidP="00D90F8F">
      <w:pPr>
        <w:pStyle w:val="Heading2"/>
      </w:pPr>
      <w:bookmarkStart w:id="68" w:name="_Ref406592480"/>
      <w:bookmarkStart w:id="69" w:name="_Ref420934813"/>
      <w:bookmarkStart w:id="70" w:name="_Toc427684485"/>
      <w:bookmarkStart w:id="71" w:name="_Toc269201853"/>
      <w:bookmarkStart w:id="72" w:name="_Toc360028637"/>
      <w:bookmarkStart w:id="73" w:name="_Ref406587862"/>
      <w:r>
        <w:lastRenderedPageBreak/>
        <w:t xml:space="preserve">Appendix </w:t>
      </w:r>
      <w:r>
        <w:fldChar w:fldCharType="begin"/>
      </w:r>
      <w:r>
        <w:instrText xml:space="preserve"> SEQ Appendix \* ARABIC </w:instrText>
      </w:r>
      <w:r>
        <w:fldChar w:fldCharType="separate"/>
      </w:r>
      <w:r w:rsidR="00B514D9">
        <w:rPr>
          <w:noProof/>
        </w:rPr>
        <w:t>1</w:t>
      </w:r>
      <w:r>
        <w:rPr>
          <w:noProof/>
        </w:rPr>
        <w:fldChar w:fldCharType="end"/>
      </w:r>
      <w:bookmarkEnd w:id="68"/>
      <w:r w:rsidR="002A1327">
        <w:rPr>
          <w:noProof/>
        </w:rPr>
        <w:t xml:space="preserve"> – </w:t>
      </w:r>
      <w:r w:rsidRPr="00C66F07">
        <w:t>Dietary Exposure Assessments at FSANZ</w:t>
      </w:r>
      <w:bookmarkEnd w:id="69"/>
      <w:bookmarkEnd w:id="70"/>
    </w:p>
    <w:bookmarkEnd w:id="71"/>
    <w:bookmarkEnd w:id="72"/>
    <w:bookmarkEnd w:id="73"/>
    <w:p w14:paraId="6E0D82A3" w14:textId="77777777" w:rsidR="00F223EF" w:rsidRPr="002D3F0A" w:rsidRDefault="00F223EF" w:rsidP="001713AF">
      <w:pPr>
        <w:rPr>
          <w:lang w:eastAsia="en-GB"/>
        </w:rPr>
      </w:pPr>
      <w:r w:rsidRPr="002D3F0A">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this is called ‘dietary modelling’.</w:t>
      </w:r>
    </w:p>
    <w:p w14:paraId="6E0D82A4" w14:textId="77777777" w:rsidR="00F223EF" w:rsidRPr="002D3F0A" w:rsidRDefault="00F223EF" w:rsidP="00D90F8F">
      <w:pPr>
        <w:pStyle w:val="Heading3"/>
      </w:pPr>
      <w:bookmarkStart w:id="74" w:name="_Toc427684486"/>
      <w:r w:rsidRPr="002D3F0A">
        <w:t>Dietary exposure = food chemical concentration x food consumption</w:t>
      </w:r>
      <w:bookmarkEnd w:id="74"/>
    </w:p>
    <w:p w14:paraId="6E0D82A5" w14:textId="77777777" w:rsidR="00F223EF" w:rsidRPr="002D3F0A" w:rsidRDefault="00F223EF" w:rsidP="001713AF">
      <w:pPr>
        <w:rPr>
          <w:lang w:eastAsia="en-GB"/>
        </w:rPr>
      </w:pPr>
      <w:r w:rsidRPr="002D3F0A">
        <w:rPr>
          <w:lang w:eastAsia="en-GB"/>
        </w:rPr>
        <w:t>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exposure. Population summary statistics such as the mean exposure or a high percentile exposure are derived from the ranked individual person’s exposures from the nutrition survey.</w:t>
      </w:r>
    </w:p>
    <w:p w14:paraId="6E0D82A6" w14:textId="77777777" w:rsidR="00F223EF" w:rsidRPr="002D3F0A" w:rsidRDefault="00F223EF" w:rsidP="001713AF"/>
    <w:p w14:paraId="6E0D82A7" w14:textId="77777777" w:rsidR="00F223EF" w:rsidRDefault="00F223EF" w:rsidP="001713AF">
      <w:r w:rsidRPr="002D3F0A">
        <w:t>An overview of how dietary exposure assessments are conducted and their place in the FSANZ Risk Analysis Process is provided on the FSANZ website at</w:t>
      </w:r>
      <w:r w:rsidR="002A1327">
        <w:t xml:space="preserve"> </w:t>
      </w:r>
      <w:hyperlink r:id="rId34" w:history="1">
        <w:r w:rsidRPr="00F93248">
          <w:rPr>
            <w:rStyle w:val="Hyperlink"/>
          </w:rPr>
          <w:t>http://www.foodstandards.gov.au/science/riskanalysis/Pages/default.aspx</w:t>
        </w:r>
      </w:hyperlink>
      <w:r w:rsidR="002A1327">
        <w:t>.</w:t>
      </w:r>
    </w:p>
    <w:p w14:paraId="6E0D82A8" w14:textId="77777777" w:rsidR="00F223EF" w:rsidRPr="002D3F0A" w:rsidRDefault="00F223EF" w:rsidP="001713AF"/>
    <w:p w14:paraId="6E0D82A9" w14:textId="77777777" w:rsidR="00F223EF" w:rsidRDefault="00F223EF" w:rsidP="001713AF">
      <w:pPr>
        <w:rPr>
          <w:lang w:eastAsia="en-GB"/>
        </w:rPr>
      </w:pPr>
      <w:r w:rsidRPr="007157CF">
        <w:rPr>
          <w:lang w:eastAsia="en-GB"/>
        </w:rPr>
        <w:t>FSANZ has developed a custom-built computer program ‘Harvest’ to calculate dietary exposures. Harvest is a newly built program and replaces the program ‘DIAMOND’ that has been used by FSANZ for many years.</w:t>
      </w:r>
      <w:r>
        <w:rPr>
          <w:lang w:eastAsia="en-GB"/>
        </w:rPr>
        <w:t xml:space="preserve"> Harvest has been designed to replicate the calculations that occurred within DIAMOND using a different software package.</w:t>
      </w:r>
      <w:r w:rsidR="00AB441C">
        <w:rPr>
          <w:lang w:eastAsia="en-GB"/>
        </w:rPr>
        <w:t xml:space="preserve"> Harvest was only used for this assessment to extract the consumption data for intensely sweetened chewing gum for New Zealand consumers</w:t>
      </w:r>
      <w:r w:rsidR="00146080">
        <w:rPr>
          <w:lang w:eastAsia="en-GB"/>
        </w:rPr>
        <w:t xml:space="preserve"> as the confidentialised unit record files (CURF) for the most recent Australian survey are not yet </w:t>
      </w:r>
      <w:r w:rsidR="00146080">
        <w:t>incorporated into Harvest</w:t>
      </w:r>
      <w:r w:rsidR="00AB441C">
        <w:rPr>
          <w:lang w:eastAsia="en-GB"/>
        </w:rPr>
        <w:t>.</w:t>
      </w:r>
    </w:p>
    <w:p w14:paraId="6E0D82AA" w14:textId="77777777" w:rsidR="00F223EF" w:rsidRPr="007157CF" w:rsidRDefault="00F223EF" w:rsidP="001713AF"/>
    <w:p w14:paraId="6E0D82AB" w14:textId="77777777" w:rsidR="00F223EF" w:rsidRPr="002A1327" w:rsidRDefault="00F223EF" w:rsidP="001713AF">
      <w:pPr>
        <w:rPr>
          <w:highlight w:val="yellow"/>
        </w:rPr>
      </w:pPr>
      <w:r w:rsidRPr="007157CF">
        <w:t xml:space="preserve">Further detailed information on conducting dietary exposure assessments at FSANZ is provided in </w:t>
      </w:r>
      <w:r w:rsidRPr="007157CF">
        <w:rPr>
          <w:i/>
        </w:rPr>
        <w:t xml:space="preserve">Principles and Practices of Dietary Exposure Assessment for Food Regulatory Purposes </w:t>
      </w:r>
      <w:r w:rsidRPr="007157CF">
        <w:t xml:space="preserve">(FSANZ 2009), available at </w:t>
      </w:r>
      <w:hyperlink r:id="rId35" w:history="1">
        <w:r w:rsidRPr="007157CF">
          <w:rPr>
            <w:rStyle w:val="Hyperlink"/>
          </w:rPr>
          <w:t>http://www.foodstandards.gov.au/science/exposure/documents/Principles%20_%20practices%20exposure%20assessment%202009.pdf</w:t>
        </w:r>
      </w:hyperlink>
      <w:r w:rsidR="002A1327" w:rsidRPr="002A1327">
        <w:rPr>
          <w:rStyle w:val="Hyperlink"/>
          <w:color w:val="auto"/>
          <w:u w:val="none"/>
        </w:rPr>
        <w:t>.</w:t>
      </w:r>
      <w:r w:rsidRPr="002A1327">
        <w:t xml:space="preserve"> </w:t>
      </w:r>
    </w:p>
    <w:p w14:paraId="6E0D82AC" w14:textId="77777777" w:rsidR="00F223EF" w:rsidRPr="007157CF" w:rsidRDefault="00F223EF" w:rsidP="00D90F8F">
      <w:pPr>
        <w:pStyle w:val="Heading3"/>
      </w:pPr>
      <w:bookmarkStart w:id="75" w:name="_Toc256582725"/>
      <w:bookmarkStart w:id="76" w:name="_Toc360028638"/>
      <w:bookmarkStart w:id="77" w:name="_Toc427684487"/>
      <w:r w:rsidRPr="007157CF">
        <w:t>A1.1</w:t>
      </w:r>
      <w:r w:rsidRPr="007157CF">
        <w:tab/>
        <w:t>Food consumption data used</w:t>
      </w:r>
      <w:bookmarkEnd w:id="75"/>
      <w:bookmarkEnd w:id="76"/>
      <w:bookmarkEnd w:id="77"/>
    </w:p>
    <w:p w14:paraId="6E0D82AD" w14:textId="77777777" w:rsidR="00F223EF" w:rsidRPr="00FA309B" w:rsidRDefault="00F223EF" w:rsidP="001713AF">
      <w:r w:rsidRPr="00FA309B">
        <w:t xml:space="preserve">The most recent food consumption data available were used to estimate exposures to </w:t>
      </w:r>
      <w:r w:rsidR="00C27F2F">
        <w:t>Ace K</w:t>
      </w:r>
      <w:r w:rsidRPr="00FA309B">
        <w:t xml:space="preserve"> for the Australian and New Zealand populations. The national nutrition survey (NNS) data used for these assessments were:</w:t>
      </w:r>
    </w:p>
    <w:p w14:paraId="6E0D82AE" w14:textId="77777777" w:rsidR="00AC60B6" w:rsidRPr="00FA309B" w:rsidRDefault="00AC60B6" w:rsidP="00AC60B6">
      <w:pPr>
        <w:pStyle w:val="FSBullet"/>
      </w:pPr>
      <w:r w:rsidRPr="00FA309B">
        <w:t>The 2011-12 Australian National Nutrition and Physical Activity Survey (2011</w:t>
      </w:r>
      <w:r w:rsidR="00C529C0">
        <w:t> </w:t>
      </w:r>
      <w:r w:rsidRPr="00FA309B">
        <w:t>NN</w:t>
      </w:r>
      <w:r w:rsidR="00345A12">
        <w:t>PA</w:t>
      </w:r>
      <w:r w:rsidRPr="00FA309B">
        <w:t>S)</w:t>
      </w:r>
    </w:p>
    <w:p w14:paraId="6E0D82AF" w14:textId="77777777" w:rsidR="00F223EF" w:rsidRPr="00FA309B" w:rsidRDefault="00F223EF" w:rsidP="001713AF">
      <w:pPr>
        <w:pStyle w:val="FSBullet"/>
      </w:pPr>
      <w:r w:rsidRPr="00FA309B">
        <w:t>The 2002 New Zealand National Children’s Nutrition Survey (2002 NZNNS)</w:t>
      </w:r>
    </w:p>
    <w:p w14:paraId="6E0D82B0" w14:textId="77777777" w:rsidR="00F223EF" w:rsidRPr="00FA309B" w:rsidRDefault="00F223EF" w:rsidP="001713AF">
      <w:pPr>
        <w:pStyle w:val="FSBullet"/>
      </w:pPr>
      <w:r w:rsidRPr="00FA309B">
        <w:t>The 2008</w:t>
      </w:r>
      <w:r w:rsidR="003C6C43" w:rsidRPr="00FA309B">
        <w:t>-</w:t>
      </w:r>
      <w:r w:rsidRPr="00FA309B">
        <w:t>09 New Zealand Adult Nutrition Survey (2008 NZANS).</w:t>
      </w:r>
    </w:p>
    <w:p w14:paraId="6E0D82B1" w14:textId="77777777" w:rsidR="00F223EF" w:rsidRPr="00FA309B" w:rsidRDefault="00F223EF" w:rsidP="001713AF"/>
    <w:p w14:paraId="6E0D82B2" w14:textId="77777777" w:rsidR="004503E8" w:rsidRPr="002A1327" w:rsidRDefault="00F223EF" w:rsidP="00820027">
      <w:pPr>
        <w:rPr>
          <w:i/>
          <w:highlight w:val="yellow"/>
        </w:rPr>
      </w:pPr>
      <w:r w:rsidRPr="004503E8">
        <w:t xml:space="preserve">The design of each of these surveys varies somewhat and key attributes of each are set out below. </w:t>
      </w:r>
      <w:r w:rsidRPr="004503E8">
        <w:rPr>
          <w:lang w:val="en-AU" w:eastAsia="en-AU"/>
        </w:rPr>
        <w:t>Further</w:t>
      </w:r>
      <w:r w:rsidRPr="00550838">
        <w:rPr>
          <w:lang w:val="en-AU" w:eastAsia="en-AU"/>
        </w:rPr>
        <w:t xml:space="preserve"> information on the National Nutrition Surveys used to conduct dietary exposure assessments is available on the FSANZ website at </w:t>
      </w:r>
      <w:hyperlink r:id="rId36" w:history="1">
        <w:r w:rsidRPr="00550838">
          <w:rPr>
            <w:rStyle w:val="Hyperlink"/>
            <w:lang w:val="en-AU" w:eastAsia="en-AU"/>
          </w:rPr>
          <w:t>http://www.foodstandards.gov.au/science/exposure/Pages/dietaryexposureandin4438.aspx</w:t>
        </w:r>
      </w:hyperlink>
      <w:r w:rsidR="002A1327" w:rsidRPr="002A1327">
        <w:rPr>
          <w:rStyle w:val="Hyperlink"/>
          <w:color w:val="auto"/>
          <w:u w:val="none"/>
          <w:lang w:val="en-AU" w:eastAsia="en-AU"/>
        </w:rPr>
        <w:t>.</w:t>
      </w:r>
    </w:p>
    <w:p w14:paraId="6E0D82B3" w14:textId="77777777" w:rsidR="00820027" w:rsidRPr="00FA309B" w:rsidRDefault="00820027" w:rsidP="00D90F8F">
      <w:pPr>
        <w:pStyle w:val="Heading4"/>
      </w:pPr>
      <w:r w:rsidRPr="00595C58">
        <w:t>A1.1.1</w:t>
      </w:r>
      <w:r w:rsidRPr="00595C58">
        <w:tab/>
        <w:t xml:space="preserve">2011-12 Australian National Nutrition and Physical Activity Survey </w:t>
      </w:r>
      <w:r w:rsidRPr="00FA309B">
        <w:t>(2011</w:t>
      </w:r>
      <w:r w:rsidR="00A232C9">
        <w:t> </w:t>
      </w:r>
      <w:r w:rsidRPr="00FA309B">
        <w:t>NN</w:t>
      </w:r>
      <w:r w:rsidR="00345A12">
        <w:t>PA</w:t>
      </w:r>
      <w:r w:rsidRPr="00FA309B">
        <w:t>S)</w:t>
      </w:r>
    </w:p>
    <w:p w14:paraId="6E0D82B4" w14:textId="77777777" w:rsidR="004503E8" w:rsidRPr="00FA309B" w:rsidRDefault="004503E8" w:rsidP="00820027">
      <w:r w:rsidRPr="00FA309B">
        <w:t>The 2011-12 Australian National Nutrition and Physical Activity Survey</w:t>
      </w:r>
      <w:r w:rsidR="0073513E" w:rsidRPr="00FA309B">
        <w:t xml:space="preserve"> (NNPAS)</w:t>
      </w:r>
      <w:r w:rsidRPr="00FA309B">
        <w:t xml:space="preserve"> </w:t>
      </w:r>
      <w:r w:rsidR="00553C48">
        <w:t xml:space="preserve">undertaken </w:t>
      </w:r>
      <w:r w:rsidRPr="00FA309B">
        <w:t xml:space="preserve">by the Australian Bureau of Statistics is the most recent food consumption data for Australia. </w:t>
      </w:r>
      <w:r w:rsidR="00C47395" w:rsidRPr="00FA309B">
        <w:lastRenderedPageBreak/>
        <w:t>This survey includes</w:t>
      </w:r>
      <w:r w:rsidRPr="00FA309B">
        <w:t xml:space="preserve"> dietary patterns of a sample of 12,153 Australians aged from 2 years and above. </w:t>
      </w:r>
      <w:r w:rsidR="00C47395" w:rsidRPr="00FA309B">
        <w:t xml:space="preserve">The survey used a 24-hour recall method for all respondents, with 64% of respondents also completing a second 24-hour recall on a second, non-consecutive day. </w:t>
      </w:r>
      <w:r w:rsidR="00C47395" w:rsidRPr="00FA309B">
        <w:rPr>
          <w:lang w:val="en-AU" w:eastAsia="en-AU"/>
        </w:rPr>
        <w:t xml:space="preserve">Only the Day 1 24-hour recall data for all respondents were used for this assessment. </w:t>
      </w:r>
      <w:r w:rsidR="00C47395" w:rsidRPr="00FA309B">
        <w:t xml:space="preserve">These data </w:t>
      </w:r>
      <w:r w:rsidR="00553C48">
        <w:t>were</w:t>
      </w:r>
      <w:r w:rsidR="00C47395" w:rsidRPr="00FA309B">
        <w:t xml:space="preserve"> weighted</w:t>
      </w:r>
      <w:r w:rsidR="00553C48">
        <w:t xml:space="preserve"> for use in </w:t>
      </w:r>
      <w:r w:rsidR="00146080">
        <w:t>the calculation (CURF data set used directly)</w:t>
      </w:r>
      <w:r w:rsidR="00C47395" w:rsidRPr="00FA309B">
        <w:t>.</w:t>
      </w:r>
    </w:p>
    <w:p w14:paraId="6E0D82B5" w14:textId="77777777" w:rsidR="00F223EF" w:rsidRPr="001D2C27" w:rsidRDefault="00F223EF" w:rsidP="002A1327">
      <w:pPr>
        <w:pStyle w:val="Heading3"/>
      </w:pPr>
      <w:bookmarkStart w:id="78" w:name="_Toc427684488"/>
      <w:r w:rsidRPr="001D2C27">
        <w:t>A1.1.</w:t>
      </w:r>
      <w:r w:rsidR="00820027">
        <w:t>2</w:t>
      </w:r>
      <w:r w:rsidRPr="001D2C27">
        <w:tab/>
        <w:t>2002 New Zealand National Children’s Nutrition Survey (2002 NZNNS)</w:t>
      </w:r>
      <w:bookmarkEnd w:id="78"/>
    </w:p>
    <w:p w14:paraId="6E0D82B6" w14:textId="77777777" w:rsidR="00F223EF" w:rsidRPr="001D2C27" w:rsidRDefault="00F223EF" w:rsidP="001713AF">
      <w:pPr>
        <w:autoSpaceDE w:val="0"/>
        <w:autoSpaceDN w:val="0"/>
        <w:adjustRightInd w:val="0"/>
        <w:rPr>
          <w:rFonts w:cs="Arial"/>
        </w:rPr>
      </w:pPr>
      <w:r w:rsidRPr="001D2C27">
        <w:t xml:space="preserve">The 2002 NZNNS was a cross-sectional and </w:t>
      </w:r>
      <w:r w:rsidRPr="001D2C27">
        <w:rPr>
          <w:rFonts w:cs="Arial"/>
        </w:rPr>
        <w:t xml:space="preserve">nationally representative </w:t>
      </w:r>
      <w:r w:rsidRPr="001D2C27">
        <w:t xml:space="preserve">survey of </w:t>
      </w:r>
      <w:r w:rsidRPr="001D2C27">
        <w:rPr>
          <w:rFonts w:cs="Arial"/>
        </w:rPr>
        <w:t xml:space="preserve">3,275 </w:t>
      </w:r>
      <w:r w:rsidRPr="001D2C27">
        <w:t xml:space="preserve">New Zealand children </w:t>
      </w:r>
      <w:r w:rsidRPr="001D2C27">
        <w:rPr>
          <w:rFonts w:cs="Arial"/>
        </w:rPr>
        <w:t>aged 5</w:t>
      </w:r>
      <w:r w:rsidR="002A1327">
        <w:rPr>
          <w:rFonts w:cs="Arial"/>
        </w:rPr>
        <w:t>–</w:t>
      </w:r>
      <w:r w:rsidRPr="001D2C27">
        <w:rPr>
          <w:rFonts w:cs="Arial"/>
        </w:rPr>
        <w:t>14 years.</w:t>
      </w:r>
      <w:r w:rsidRPr="001D2C27">
        <w:t xml:space="preserve"> The data were collected </w:t>
      </w:r>
      <w:r w:rsidRPr="001D2C27">
        <w:rPr>
          <w:rFonts w:cs="Arial"/>
        </w:rPr>
        <w:t xml:space="preserve">during the school year from February to December 2002. The survey used a 24-hour food recall and </w:t>
      </w:r>
      <w:r w:rsidRPr="001D2C27">
        <w:t xml:space="preserve">provided information on food and nutrient intakes, eating patterns, frequently eaten foods, </w:t>
      </w:r>
      <w:r w:rsidRPr="001D2C27">
        <w:rPr>
          <w:rFonts w:cs="Arial"/>
        </w:rPr>
        <w:t>physical activity patterns, dental health, anthropometric measures and nutrition-related clinical measures.</w:t>
      </w:r>
      <w:r w:rsidRPr="001D2C27">
        <w:t xml:space="preserve"> It was also the first children’s nutrition survey in New Zealand to include a second day diet recall data for about 15% of the respondents, and dietary intake from both foods (including beverages) and dietary supplements. </w:t>
      </w:r>
      <w:r w:rsidRPr="001D2C27">
        <w:rPr>
          <w:lang w:val="en-AU" w:eastAsia="en-AU"/>
        </w:rPr>
        <w:t xml:space="preserve">Only the Day 1 24-hour recall data for all respondents (excluding supplements) were used for this assessment. </w:t>
      </w:r>
      <w:r w:rsidRPr="001D2C27">
        <w:t xml:space="preserve">These data </w:t>
      </w:r>
      <w:r w:rsidR="00553C48">
        <w:t>were</w:t>
      </w:r>
      <w:r w:rsidRPr="001D2C27">
        <w:t xml:space="preserve"> weighted </w:t>
      </w:r>
      <w:r w:rsidR="00553C48">
        <w:t xml:space="preserve">for use </w:t>
      </w:r>
      <w:r w:rsidRPr="001D2C27">
        <w:t>in Harvest.</w:t>
      </w:r>
    </w:p>
    <w:p w14:paraId="6E0D82B7" w14:textId="77777777" w:rsidR="00F223EF" w:rsidRPr="001D2C27" w:rsidRDefault="00F223EF" w:rsidP="002A1327">
      <w:pPr>
        <w:pStyle w:val="Heading3"/>
        <w:rPr>
          <w:lang w:val="en-AU"/>
        </w:rPr>
      </w:pPr>
      <w:bookmarkStart w:id="79" w:name="_Toc427684489"/>
      <w:r w:rsidRPr="001D2C27">
        <w:rPr>
          <w:lang w:val="en-AU"/>
        </w:rPr>
        <w:t>A1.1.</w:t>
      </w:r>
      <w:r w:rsidR="00820027">
        <w:rPr>
          <w:lang w:val="en-AU"/>
        </w:rPr>
        <w:t>3</w:t>
      </w:r>
      <w:r w:rsidRPr="001D2C27">
        <w:rPr>
          <w:lang w:val="en-AU"/>
        </w:rPr>
        <w:tab/>
      </w:r>
      <w:bookmarkStart w:id="80" w:name="_GoBack"/>
      <w:bookmarkEnd w:id="80"/>
      <w:r w:rsidRPr="001D2C27">
        <w:rPr>
          <w:lang w:val="en-AU"/>
        </w:rPr>
        <w:t>2008</w:t>
      </w:r>
      <w:r w:rsidR="003C6C43">
        <w:rPr>
          <w:lang w:val="en-AU"/>
        </w:rPr>
        <w:t>-</w:t>
      </w:r>
      <w:r>
        <w:rPr>
          <w:lang w:val="en-AU"/>
        </w:rPr>
        <w:t>09</w:t>
      </w:r>
      <w:r w:rsidRPr="001D2C27">
        <w:rPr>
          <w:lang w:val="en-AU"/>
        </w:rPr>
        <w:t xml:space="preserve"> New Zealand Adult Nutrition Survey (2008 NZANS)</w:t>
      </w:r>
      <w:bookmarkEnd w:id="79"/>
    </w:p>
    <w:p w14:paraId="6E0D82B8" w14:textId="77777777" w:rsidR="002A1327" w:rsidRDefault="00F223EF" w:rsidP="001713AF">
      <w:pPr>
        <w:rPr>
          <w:lang w:val="en-AU" w:eastAsia="en-AU"/>
        </w:rPr>
      </w:pPr>
      <w:r w:rsidRPr="007949D2">
        <w:rPr>
          <w:lang w:val="en-AU" w:eastAsia="en-AU"/>
        </w:rPr>
        <w:t xml:space="preserve">The 2008 NZANS provides comprehensive information on the dietary patterns of a sample of 4,721 respondents aged 15 years and above. </w:t>
      </w:r>
      <w:r w:rsidRPr="008B12AE">
        <w:rPr>
          <w:lang w:val="en-AU" w:eastAsia="en-AU"/>
        </w:rPr>
        <w:t xml:space="preserve">The survey was conducted on a stratified </w:t>
      </w:r>
      <w:r w:rsidRPr="00FA309B">
        <w:rPr>
          <w:lang w:val="en-AU" w:eastAsia="en-AU"/>
        </w:rPr>
        <w:t xml:space="preserve">sample over a 12 month period from October 2008 </w:t>
      </w:r>
      <w:r w:rsidR="002A1327">
        <w:rPr>
          <w:lang w:val="en-AU" w:eastAsia="en-AU"/>
        </w:rPr>
        <w:t>to</w:t>
      </w:r>
      <w:r w:rsidR="002A1327" w:rsidRPr="00FA309B">
        <w:rPr>
          <w:lang w:val="en-AU" w:eastAsia="en-AU"/>
        </w:rPr>
        <w:t xml:space="preserve"> </w:t>
      </w:r>
      <w:r w:rsidRPr="00FA309B">
        <w:rPr>
          <w:lang w:val="en-AU" w:eastAsia="en-AU"/>
        </w:rPr>
        <w:t xml:space="preserve">October 2009. The survey used a </w:t>
      </w:r>
    </w:p>
    <w:p w14:paraId="6E0D82B9" w14:textId="77777777" w:rsidR="00F223EF" w:rsidRPr="00FA309B" w:rsidRDefault="00F223EF" w:rsidP="001713AF">
      <w:r w:rsidRPr="00FA309B">
        <w:rPr>
          <w:lang w:val="en-AU" w:eastAsia="en-AU"/>
        </w:rPr>
        <w:t>24-hour recall methodology with 25% of respondents also completing a second 24-hour recall.</w:t>
      </w:r>
      <w:r w:rsidRPr="00FA309B">
        <w:rPr>
          <w:rFonts w:cs="Arial"/>
        </w:rPr>
        <w:t xml:space="preserve"> The information collected in the 2008 NZANS </w:t>
      </w:r>
      <w:r w:rsidRPr="00FA309B">
        <w:t>included food and nutrient intakes, dietary supplement use, socio-demographics, nutrition related health, and</w:t>
      </w:r>
      <w:r w:rsidRPr="00FA309B">
        <w:rPr>
          <w:rFonts w:cs="Arial"/>
        </w:rPr>
        <w:t xml:space="preserve"> anthropometric measures.</w:t>
      </w:r>
      <w:r w:rsidRPr="00FA309B">
        <w:t xml:space="preserve"> </w:t>
      </w:r>
      <w:r w:rsidRPr="00FA309B">
        <w:rPr>
          <w:lang w:val="en-AU" w:eastAsia="en-AU"/>
        </w:rPr>
        <w:t xml:space="preserve">Only the Day 1 24-hour recall data for all respondents were used for this assessment. These data </w:t>
      </w:r>
      <w:r w:rsidR="00553C48">
        <w:rPr>
          <w:lang w:val="en-AU" w:eastAsia="en-AU"/>
        </w:rPr>
        <w:t>were</w:t>
      </w:r>
      <w:r w:rsidRPr="00FA309B">
        <w:rPr>
          <w:lang w:val="en-AU" w:eastAsia="en-AU"/>
        </w:rPr>
        <w:t xml:space="preserve"> weighted </w:t>
      </w:r>
      <w:r w:rsidR="00553C48">
        <w:rPr>
          <w:lang w:val="en-AU" w:eastAsia="en-AU"/>
        </w:rPr>
        <w:t xml:space="preserve">for use </w:t>
      </w:r>
      <w:r w:rsidRPr="00FA309B">
        <w:rPr>
          <w:lang w:val="en-AU" w:eastAsia="en-AU"/>
        </w:rPr>
        <w:t>in Harvest.</w:t>
      </w:r>
      <w:bookmarkStart w:id="81" w:name="_Toc360028639"/>
      <w:bookmarkEnd w:id="81"/>
    </w:p>
    <w:p w14:paraId="6E0D82BA" w14:textId="77777777" w:rsidR="00F223EF" w:rsidRPr="00FA309B" w:rsidRDefault="00F223EF" w:rsidP="00D90F8F">
      <w:pPr>
        <w:pStyle w:val="Heading3"/>
      </w:pPr>
      <w:bookmarkStart w:id="82" w:name="_Toc247509506"/>
      <w:bookmarkStart w:id="83" w:name="_Toc256582727"/>
      <w:bookmarkStart w:id="84" w:name="_Toc360028640"/>
      <w:bookmarkStart w:id="85" w:name="_Toc427684490"/>
      <w:r w:rsidRPr="00FA309B">
        <w:t>A1.</w:t>
      </w:r>
      <w:r w:rsidR="00E93333">
        <w:t>2</w:t>
      </w:r>
      <w:r w:rsidRPr="00FA309B">
        <w:tab/>
        <w:t>Limitations of dietary exposure assessments</w:t>
      </w:r>
      <w:bookmarkEnd w:id="82"/>
      <w:bookmarkEnd w:id="83"/>
      <w:bookmarkEnd w:id="84"/>
      <w:bookmarkEnd w:id="85"/>
    </w:p>
    <w:p w14:paraId="6E0D82BB" w14:textId="77777777" w:rsidR="00F223EF" w:rsidRPr="007157CF" w:rsidRDefault="00F223EF" w:rsidP="001713AF">
      <w:r w:rsidRPr="00FA309B">
        <w:t>Dietary exposure assessments based on 20</w:t>
      </w:r>
      <w:r w:rsidR="00FB1E01" w:rsidRPr="00FA309B">
        <w:t>11</w:t>
      </w:r>
      <w:r w:rsidR="00C03CED">
        <w:t> </w:t>
      </w:r>
      <w:r w:rsidRPr="00FA309B">
        <w:t>NN</w:t>
      </w:r>
      <w:r w:rsidR="00E544C6">
        <w:t>PA</w:t>
      </w:r>
      <w:r w:rsidRPr="00FA309B">
        <w:t>S, 2002 NZNNS and 2008 NZANS food consumption data provide the best estimation of actual consumption of a food and the resulting estimated dietary exposure assessment for the Australian population aged 2 years and above, as well as the New Zealand populations aged 5</w:t>
      </w:r>
      <w:r w:rsidR="002A1327">
        <w:rPr>
          <w:rFonts w:cs="Arial"/>
        </w:rPr>
        <w:t>–</w:t>
      </w:r>
      <w:r w:rsidRPr="00FA309B">
        <w:t xml:space="preserve">14 years and 15 years and above, respectively. However, it should be noted that NNS data do have limitations. Further details of the limitations relating to dietary exposure assessments undertaken by FSANZ are set out in the FSANZ document, </w:t>
      </w:r>
      <w:r w:rsidRPr="00FA309B">
        <w:rPr>
          <w:i/>
        </w:rPr>
        <w:t>Principles and Practices of Dietary Exposure Assessment for Food Regulatory Purposes</w:t>
      </w:r>
      <w:r w:rsidRPr="00FA309B">
        <w:t xml:space="preserve"> (FSANZ 2009).</w:t>
      </w:r>
    </w:p>
    <w:p w14:paraId="6E0D82BC" w14:textId="77777777" w:rsidR="00F223EF" w:rsidRPr="00486D31" w:rsidRDefault="00F223EF" w:rsidP="001713AF">
      <w:pPr>
        <w:rPr>
          <w:highlight w:val="yellow"/>
        </w:rPr>
      </w:pPr>
    </w:p>
    <w:p w14:paraId="6E0D82BD" w14:textId="77777777" w:rsidR="00F223EF" w:rsidRPr="00486D31" w:rsidRDefault="00F223EF" w:rsidP="001713AF">
      <w:pPr>
        <w:rPr>
          <w:highlight w:val="yellow"/>
        </w:rPr>
      </w:pPr>
    </w:p>
    <w:p w14:paraId="6E0D82BE" w14:textId="77777777" w:rsidR="00F223EF" w:rsidRDefault="00F223EF" w:rsidP="001713AF">
      <w:pPr>
        <w:pStyle w:val="Heading2"/>
        <w:sectPr w:rsidR="00F223EF" w:rsidSect="005B76DA">
          <w:footerReference w:type="default" r:id="rId37"/>
          <w:pgSz w:w="11906" w:h="16838"/>
          <w:pgMar w:top="1418" w:right="1418" w:bottom="1418" w:left="1418" w:header="709" w:footer="709" w:gutter="0"/>
          <w:pgNumType w:start="1"/>
          <w:cols w:space="708"/>
          <w:docGrid w:linePitch="360"/>
        </w:sectPr>
      </w:pPr>
      <w:bookmarkStart w:id="86" w:name="_Toc360028642"/>
    </w:p>
    <w:p w14:paraId="6E0D82BF" w14:textId="77777777" w:rsidR="00F223EF" w:rsidRPr="00B9351F" w:rsidRDefault="00F223EF" w:rsidP="00D90F8F">
      <w:pPr>
        <w:pStyle w:val="Heading2"/>
      </w:pPr>
      <w:bookmarkStart w:id="87" w:name="_Ref406572148"/>
      <w:bookmarkStart w:id="88" w:name="_Ref406572142"/>
      <w:bookmarkStart w:id="89" w:name="_Toc427684491"/>
      <w:r>
        <w:lastRenderedPageBreak/>
        <w:t xml:space="preserve">Appendix </w:t>
      </w:r>
      <w:r>
        <w:fldChar w:fldCharType="begin"/>
      </w:r>
      <w:r>
        <w:instrText xml:space="preserve"> SEQ Appendix \* ARABIC </w:instrText>
      </w:r>
      <w:r>
        <w:fldChar w:fldCharType="separate"/>
      </w:r>
      <w:r w:rsidR="00B514D9">
        <w:rPr>
          <w:noProof/>
        </w:rPr>
        <w:t>2</w:t>
      </w:r>
      <w:r>
        <w:rPr>
          <w:noProof/>
        </w:rPr>
        <w:fldChar w:fldCharType="end"/>
      </w:r>
      <w:bookmarkEnd w:id="87"/>
      <w:r w:rsidR="002A1327">
        <w:rPr>
          <w:noProof/>
        </w:rPr>
        <w:t xml:space="preserve"> –</w:t>
      </w:r>
      <w:r w:rsidRPr="00B9351F">
        <w:t xml:space="preserve"> Dietary Exposure Assessment Results</w:t>
      </w:r>
      <w:bookmarkEnd w:id="86"/>
      <w:bookmarkEnd w:id="88"/>
      <w:bookmarkEnd w:id="89"/>
    </w:p>
    <w:p w14:paraId="6E0D82C0" w14:textId="77777777" w:rsidR="005034D7" w:rsidRDefault="005034D7" w:rsidP="005034D7">
      <w:pPr>
        <w:pStyle w:val="FSTableTitle"/>
        <w:keepNext/>
        <w:keepLines/>
      </w:pPr>
      <w:bookmarkStart w:id="90" w:name="_Ref406590976"/>
      <w:r w:rsidRPr="00F00FBC">
        <w:t>Table A2.</w:t>
      </w:r>
      <w:r>
        <w:t>1</w:t>
      </w:r>
      <w:r w:rsidRPr="00F00FBC">
        <w:t xml:space="preserve">: Estimated dietary exposures </w:t>
      </w:r>
      <w:r>
        <w:t>to</w:t>
      </w:r>
      <w:r w:rsidRPr="00F00FBC">
        <w:t xml:space="preserve"> Ace K based on 2004 sweetener survey</w:t>
      </w:r>
      <w:r w:rsidR="00394444">
        <w:t xml:space="preserve"> (consumers only)</w:t>
      </w:r>
    </w:p>
    <w:p w14:paraId="6E0D82C1" w14:textId="77777777" w:rsidR="002A1327" w:rsidRPr="002A1327" w:rsidRDefault="002A1327" w:rsidP="00D90F8F"/>
    <w:tbl>
      <w:tblPr>
        <w:tblW w:w="11771" w:type="dxa"/>
        <w:tblInd w:w="103" w:type="dxa"/>
        <w:tblLook w:val="04A0" w:firstRow="1" w:lastRow="0" w:firstColumn="1" w:lastColumn="0" w:noHBand="0" w:noVBand="1"/>
      </w:tblPr>
      <w:tblGrid>
        <w:gridCol w:w="4400"/>
        <w:gridCol w:w="2030"/>
        <w:gridCol w:w="2506"/>
        <w:gridCol w:w="2835"/>
      </w:tblGrid>
      <w:tr w:rsidR="005034D7" w:rsidRPr="00F00FBC" w14:paraId="6E0D82C5" w14:textId="77777777" w:rsidTr="00A21146">
        <w:trPr>
          <w:trHeight w:val="275"/>
        </w:trPr>
        <w:tc>
          <w:tcPr>
            <w:tcW w:w="4400" w:type="dxa"/>
            <w:vMerge w:val="restart"/>
            <w:tcBorders>
              <w:top w:val="single" w:sz="4" w:space="0" w:color="auto"/>
              <w:left w:val="single" w:sz="4" w:space="0" w:color="auto"/>
              <w:right w:val="single" w:sz="4" w:space="0" w:color="auto"/>
            </w:tcBorders>
            <w:shd w:val="clear" w:color="auto" w:fill="auto"/>
            <w:noWrap/>
            <w:hideMark/>
          </w:tcPr>
          <w:p w14:paraId="6E0D82C2" w14:textId="77777777" w:rsidR="005034D7" w:rsidRPr="00F00FBC" w:rsidRDefault="005034D7" w:rsidP="00A21146">
            <w:pPr>
              <w:keepNext/>
              <w:keepLines/>
              <w:rPr>
                <w:b/>
                <w:lang w:eastAsia="en-GB" w:bidi="ar-SA"/>
              </w:rPr>
            </w:pPr>
            <w:r w:rsidRPr="00F00FBC">
              <w:rPr>
                <w:b/>
                <w:lang w:eastAsia="en-GB" w:bidi="ar-SA"/>
              </w:rPr>
              <w:t>Country</w:t>
            </w:r>
          </w:p>
        </w:tc>
        <w:tc>
          <w:tcPr>
            <w:tcW w:w="2030" w:type="dxa"/>
            <w:vMerge w:val="restart"/>
            <w:tcBorders>
              <w:top w:val="single" w:sz="4" w:space="0" w:color="auto"/>
              <w:left w:val="single" w:sz="4" w:space="0" w:color="auto"/>
              <w:right w:val="single" w:sz="4" w:space="0" w:color="auto"/>
            </w:tcBorders>
            <w:shd w:val="clear" w:color="auto" w:fill="auto"/>
          </w:tcPr>
          <w:p w14:paraId="6E0D82C3" w14:textId="77777777" w:rsidR="005034D7" w:rsidRPr="00F00FBC" w:rsidRDefault="005034D7" w:rsidP="00A21146">
            <w:pPr>
              <w:keepNext/>
              <w:keepLines/>
              <w:rPr>
                <w:b/>
                <w:lang w:eastAsia="en-GB" w:bidi="ar-SA"/>
              </w:rPr>
            </w:pPr>
            <w:r w:rsidRPr="00F00FBC">
              <w:rPr>
                <w:b/>
                <w:lang w:eastAsia="en-GB" w:bidi="ar-SA"/>
              </w:rPr>
              <w:t>Age group</w:t>
            </w:r>
          </w:p>
        </w:tc>
        <w:tc>
          <w:tcPr>
            <w:tcW w:w="5341" w:type="dxa"/>
            <w:gridSpan w:val="2"/>
            <w:tcBorders>
              <w:top w:val="single" w:sz="4" w:space="0" w:color="auto"/>
              <w:left w:val="single" w:sz="4" w:space="0" w:color="000000"/>
              <w:bottom w:val="single" w:sz="4" w:space="0" w:color="auto"/>
              <w:right w:val="single" w:sz="4" w:space="0" w:color="auto"/>
            </w:tcBorders>
          </w:tcPr>
          <w:p w14:paraId="6E0D82C4" w14:textId="77777777" w:rsidR="005034D7" w:rsidRPr="00F00FBC" w:rsidRDefault="005034D7" w:rsidP="00A21146">
            <w:pPr>
              <w:keepNext/>
              <w:keepLines/>
              <w:rPr>
                <w:b/>
                <w:i/>
                <w:lang w:eastAsia="en-GB" w:bidi="ar-SA"/>
              </w:rPr>
            </w:pPr>
            <w:r w:rsidRPr="00F00FBC">
              <w:rPr>
                <w:b/>
                <w:i/>
                <w:lang w:eastAsia="en-GB" w:bidi="ar-SA"/>
              </w:rPr>
              <w:t>2004 sweetener survey dietary exposures</w:t>
            </w:r>
          </w:p>
        </w:tc>
      </w:tr>
      <w:tr w:rsidR="005034D7" w:rsidRPr="00F00FBC" w14:paraId="6E0D82CA" w14:textId="77777777" w:rsidTr="00A21146">
        <w:trPr>
          <w:trHeight w:val="345"/>
        </w:trPr>
        <w:tc>
          <w:tcPr>
            <w:tcW w:w="4400" w:type="dxa"/>
            <w:vMerge/>
            <w:tcBorders>
              <w:left w:val="single" w:sz="4" w:space="0" w:color="auto"/>
              <w:right w:val="single" w:sz="4" w:space="0" w:color="auto"/>
            </w:tcBorders>
            <w:shd w:val="clear" w:color="auto" w:fill="auto"/>
            <w:noWrap/>
            <w:vAlign w:val="bottom"/>
            <w:hideMark/>
          </w:tcPr>
          <w:p w14:paraId="6E0D82C6" w14:textId="77777777" w:rsidR="005034D7" w:rsidRPr="00F00FBC" w:rsidRDefault="005034D7" w:rsidP="00A21146">
            <w:pPr>
              <w:keepNext/>
              <w:keepLines/>
              <w:rPr>
                <w:b/>
                <w:lang w:eastAsia="en-GB" w:bidi="ar-SA"/>
              </w:rPr>
            </w:pPr>
          </w:p>
        </w:tc>
        <w:tc>
          <w:tcPr>
            <w:tcW w:w="2030" w:type="dxa"/>
            <w:vMerge/>
            <w:tcBorders>
              <w:left w:val="single" w:sz="4" w:space="0" w:color="auto"/>
              <w:right w:val="single" w:sz="4" w:space="0" w:color="auto"/>
            </w:tcBorders>
            <w:shd w:val="clear" w:color="auto" w:fill="auto"/>
            <w:noWrap/>
            <w:vAlign w:val="bottom"/>
            <w:hideMark/>
          </w:tcPr>
          <w:p w14:paraId="6E0D82C7" w14:textId="77777777" w:rsidR="005034D7" w:rsidRPr="00F00FBC" w:rsidRDefault="005034D7" w:rsidP="00A21146">
            <w:pPr>
              <w:keepNext/>
              <w:keepLines/>
              <w:rPr>
                <w:b/>
                <w:lang w:eastAsia="en-GB" w:bidi="ar-SA"/>
              </w:rPr>
            </w:pPr>
          </w:p>
        </w:tc>
        <w:tc>
          <w:tcPr>
            <w:tcW w:w="2506" w:type="dxa"/>
            <w:tcBorders>
              <w:top w:val="single" w:sz="4" w:space="0" w:color="auto"/>
              <w:left w:val="nil"/>
              <w:bottom w:val="single" w:sz="4" w:space="0" w:color="auto"/>
              <w:right w:val="single" w:sz="4" w:space="0" w:color="auto"/>
            </w:tcBorders>
          </w:tcPr>
          <w:p w14:paraId="6E0D82C8" w14:textId="77777777" w:rsidR="005034D7" w:rsidRPr="00F00FBC" w:rsidRDefault="005034D7" w:rsidP="00A21146">
            <w:pPr>
              <w:keepNext/>
              <w:keepLines/>
              <w:jc w:val="center"/>
              <w:rPr>
                <w:b/>
                <w:lang w:eastAsia="en-GB" w:bidi="ar-SA"/>
              </w:rPr>
            </w:pPr>
            <w:r w:rsidRPr="00F00FBC">
              <w:rPr>
                <w:b/>
                <w:lang w:eastAsia="en-GB" w:bidi="ar-SA"/>
              </w:rPr>
              <w:t>Mean</w:t>
            </w:r>
          </w:p>
        </w:tc>
        <w:tc>
          <w:tcPr>
            <w:tcW w:w="2835" w:type="dxa"/>
            <w:tcBorders>
              <w:top w:val="single" w:sz="4" w:space="0" w:color="auto"/>
              <w:left w:val="single" w:sz="4" w:space="0" w:color="auto"/>
              <w:bottom w:val="single" w:sz="4" w:space="0" w:color="auto"/>
              <w:right w:val="single" w:sz="4" w:space="0" w:color="auto"/>
            </w:tcBorders>
          </w:tcPr>
          <w:p w14:paraId="6E0D82C9" w14:textId="77777777" w:rsidR="005034D7" w:rsidRPr="00F00FBC" w:rsidRDefault="005034D7" w:rsidP="00A21146">
            <w:pPr>
              <w:keepNext/>
              <w:keepLines/>
              <w:jc w:val="center"/>
              <w:rPr>
                <w:b/>
                <w:lang w:eastAsia="en-GB" w:bidi="ar-SA"/>
              </w:rPr>
            </w:pPr>
            <w:r w:rsidRPr="00F00FBC">
              <w:rPr>
                <w:b/>
                <w:lang w:eastAsia="en-GB" w:bidi="ar-SA"/>
              </w:rPr>
              <w:t>90th</w:t>
            </w:r>
          </w:p>
        </w:tc>
      </w:tr>
      <w:tr w:rsidR="005034D7" w:rsidRPr="00F00FBC" w14:paraId="6E0D82CF" w14:textId="77777777" w:rsidTr="00A21146">
        <w:trPr>
          <w:trHeight w:val="300"/>
        </w:trPr>
        <w:tc>
          <w:tcPr>
            <w:tcW w:w="4400" w:type="dxa"/>
            <w:vMerge/>
            <w:tcBorders>
              <w:left w:val="single" w:sz="4" w:space="0" w:color="auto"/>
              <w:bottom w:val="single" w:sz="4" w:space="0" w:color="auto"/>
              <w:right w:val="single" w:sz="4" w:space="0" w:color="auto"/>
            </w:tcBorders>
            <w:shd w:val="clear" w:color="auto" w:fill="auto"/>
            <w:noWrap/>
            <w:vAlign w:val="bottom"/>
            <w:hideMark/>
          </w:tcPr>
          <w:p w14:paraId="6E0D82CB" w14:textId="77777777" w:rsidR="005034D7" w:rsidRPr="00F00FBC" w:rsidRDefault="005034D7" w:rsidP="00A21146">
            <w:pPr>
              <w:keepNext/>
              <w:keepLines/>
              <w:rPr>
                <w:b/>
                <w:lang w:eastAsia="en-GB" w:bidi="ar-SA"/>
              </w:rPr>
            </w:pPr>
          </w:p>
        </w:tc>
        <w:tc>
          <w:tcPr>
            <w:tcW w:w="2030" w:type="dxa"/>
            <w:vMerge/>
            <w:tcBorders>
              <w:left w:val="single" w:sz="4" w:space="0" w:color="auto"/>
              <w:bottom w:val="single" w:sz="4" w:space="0" w:color="auto"/>
              <w:right w:val="single" w:sz="4" w:space="0" w:color="auto"/>
            </w:tcBorders>
            <w:shd w:val="clear" w:color="auto" w:fill="auto"/>
            <w:noWrap/>
            <w:vAlign w:val="bottom"/>
            <w:hideMark/>
          </w:tcPr>
          <w:p w14:paraId="6E0D82CC" w14:textId="77777777" w:rsidR="005034D7" w:rsidRPr="00F00FBC" w:rsidRDefault="005034D7" w:rsidP="00A21146">
            <w:pPr>
              <w:keepNext/>
              <w:keepLines/>
              <w:rPr>
                <w:b/>
                <w:lang w:eastAsia="en-GB" w:bidi="ar-SA"/>
              </w:rPr>
            </w:pPr>
          </w:p>
        </w:tc>
        <w:tc>
          <w:tcPr>
            <w:tcW w:w="2506" w:type="dxa"/>
            <w:tcBorders>
              <w:top w:val="single" w:sz="4" w:space="0" w:color="auto"/>
              <w:left w:val="nil"/>
              <w:bottom w:val="single" w:sz="4" w:space="0" w:color="auto"/>
              <w:right w:val="single" w:sz="4" w:space="0" w:color="auto"/>
            </w:tcBorders>
          </w:tcPr>
          <w:p w14:paraId="6E0D82CD" w14:textId="77777777" w:rsidR="005034D7" w:rsidRPr="00F00FBC" w:rsidRDefault="005034D7" w:rsidP="00A21146">
            <w:pPr>
              <w:keepNext/>
              <w:keepLines/>
              <w:jc w:val="center"/>
              <w:rPr>
                <w:b/>
                <w:lang w:eastAsia="en-GB" w:bidi="ar-SA"/>
              </w:rPr>
            </w:pPr>
            <w:r w:rsidRPr="00F00FBC">
              <w:rPr>
                <w:b/>
                <w:lang w:eastAsia="en-GB" w:bidi="ar-SA"/>
              </w:rPr>
              <w:t>%ADI</w:t>
            </w:r>
          </w:p>
        </w:tc>
        <w:tc>
          <w:tcPr>
            <w:tcW w:w="2835" w:type="dxa"/>
            <w:tcBorders>
              <w:top w:val="single" w:sz="4" w:space="0" w:color="auto"/>
              <w:left w:val="single" w:sz="4" w:space="0" w:color="auto"/>
              <w:bottom w:val="single" w:sz="4" w:space="0" w:color="auto"/>
              <w:right w:val="single" w:sz="4" w:space="0" w:color="auto"/>
            </w:tcBorders>
          </w:tcPr>
          <w:p w14:paraId="6E0D82CE" w14:textId="77777777" w:rsidR="005034D7" w:rsidRPr="00F00FBC" w:rsidRDefault="005034D7" w:rsidP="00A21146">
            <w:pPr>
              <w:keepNext/>
              <w:keepLines/>
              <w:jc w:val="center"/>
              <w:rPr>
                <w:b/>
                <w:lang w:eastAsia="en-GB" w:bidi="ar-SA"/>
              </w:rPr>
            </w:pPr>
            <w:r w:rsidRPr="00F00FBC">
              <w:rPr>
                <w:b/>
                <w:lang w:eastAsia="en-GB" w:bidi="ar-SA"/>
              </w:rPr>
              <w:t>%ADI</w:t>
            </w:r>
          </w:p>
        </w:tc>
      </w:tr>
      <w:tr w:rsidR="005034D7" w:rsidRPr="00F00FBC" w14:paraId="6E0D82D4" w14:textId="77777777" w:rsidTr="00A21146">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82D0" w14:textId="77777777" w:rsidR="005034D7" w:rsidRPr="00F00FBC" w:rsidRDefault="005034D7" w:rsidP="00A21146">
            <w:pPr>
              <w:keepNext/>
              <w:keepLines/>
              <w:widowControl/>
              <w:rPr>
                <w:rFonts w:ascii="Calibri" w:hAnsi="Calibri"/>
                <w:color w:val="000000"/>
                <w:szCs w:val="22"/>
                <w:lang w:eastAsia="en-GB" w:bidi="ar-SA"/>
              </w:rPr>
            </w:pPr>
            <w:r w:rsidRPr="00F00FBC">
              <w:rPr>
                <w:rFonts w:ascii="Calibri" w:hAnsi="Calibri"/>
                <w:color w:val="000000"/>
                <w:szCs w:val="22"/>
                <w:lang w:eastAsia="en-GB" w:bidi="ar-SA"/>
              </w:rPr>
              <w:t>Australia and New Zealand combined</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6E0D82D1" w14:textId="77777777" w:rsidR="005034D7" w:rsidRPr="00F00FBC" w:rsidRDefault="005034D7" w:rsidP="00A21146">
            <w:pPr>
              <w:keepNext/>
              <w:keepLines/>
              <w:widowControl/>
              <w:rPr>
                <w:rFonts w:ascii="Calibri" w:hAnsi="Calibri"/>
                <w:color w:val="000000"/>
                <w:szCs w:val="22"/>
                <w:lang w:eastAsia="en-GB" w:bidi="ar-SA"/>
              </w:rPr>
            </w:pPr>
            <w:r w:rsidRPr="00F00FBC">
              <w:rPr>
                <w:rFonts w:ascii="Calibri" w:hAnsi="Calibri"/>
                <w:color w:val="000000"/>
                <w:szCs w:val="22"/>
                <w:lang w:eastAsia="en-GB" w:bidi="ar-SA"/>
              </w:rPr>
              <w:t>12 years and above</w:t>
            </w:r>
          </w:p>
        </w:tc>
        <w:tc>
          <w:tcPr>
            <w:tcW w:w="2506" w:type="dxa"/>
            <w:tcBorders>
              <w:top w:val="single" w:sz="4" w:space="0" w:color="auto"/>
              <w:left w:val="nil"/>
              <w:bottom w:val="single" w:sz="4" w:space="0" w:color="auto"/>
              <w:right w:val="single" w:sz="4" w:space="0" w:color="auto"/>
            </w:tcBorders>
          </w:tcPr>
          <w:p w14:paraId="6E0D82D2" w14:textId="77777777" w:rsidR="005034D7" w:rsidRPr="00F00FBC" w:rsidRDefault="005034D7" w:rsidP="00A21146">
            <w:pPr>
              <w:keepNext/>
              <w:keepLines/>
              <w:widowControl/>
              <w:jc w:val="center"/>
              <w:rPr>
                <w:rFonts w:ascii="Calibri" w:hAnsi="Calibri"/>
                <w:color w:val="000000"/>
                <w:szCs w:val="22"/>
                <w:lang w:eastAsia="en-GB" w:bidi="ar-SA"/>
              </w:rPr>
            </w:pPr>
            <w:r w:rsidRPr="00F00FBC">
              <w:rPr>
                <w:rFonts w:ascii="Calibri" w:hAnsi="Calibri"/>
                <w:color w:val="000000"/>
                <w:szCs w:val="22"/>
                <w:lang w:eastAsia="en-GB" w:bidi="ar-SA"/>
              </w:rPr>
              <w:t>3</w:t>
            </w:r>
          </w:p>
        </w:tc>
        <w:tc>
          <w:tcPr>
            <w:tcW w:w="2835" w:type="dxa"/>
            <w:tcBorders>
              <w:top w:val="single" w:sz="4" w:space="0" w:color="auto"/>
              <w:left w:val="single" w:sz="4" w:space="0" w:color="auto"/>
              <w:bottom w:val="single" w:sz="4" w:space="0" w:color="auto"/>
              <w:right w:val="single" w:sz="4" w:space="0" w:color="auto"/>
            </w:tcBorders>
          </w:tcPr>
          <w:p w14:paraId="6E0D82D3" w14:textId="77777777" w:rsidR="005034D7" w:rsidRPr="00F00FBC" w:rsidRDefault="005034D7" w:rsidP="00A21146">
            <w:pPr>
              <w:keepNext/>
              <w:keepLines/>
              <w:widowControl/>
              <w:jc w:val="center"/>
              <w:rPr>
                <w:rFonts w:ascii="Calibri" w:hAnsi="Calibri"/>
                <w:color w:val="000000"/>
                <w:szCs w:val="22"/>
                <w:lang w:eastAsia="en-GB" w:bidi="ar-SA"/>
              </w:rPr>
            </w:pPr>
            <w:r w:rsidRPr="00F00FBC">
              <w:rPr>
                <w:rFonts w:ascii="Calibri" w:hAnsi="Calibri"/>
                <w:color w:val="000000"/>
                <w:szCs w:val="22"/>
                <w:lang w:eastAsia="en-GB" w:bidi="ar-SA"/>
              </w:rPr>
              <w:t>6</w:t>
            </w:r>
          </w:p>
        </w:tc>
      </w:tr>
      <w:tr w:rsidR="005034D7" w:rsidRPr="00F00FBC" w14:paraId="6E0D82D9" w14:textId="77777777" w:rsidTr="00A21146">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D82D5" w14:textId="77777777" w:rsidR="005034D7" w:rsidRPr="00F00FBC" w:rsidRDefault="005034D7" w:rsidP="00A21146">
            <w:pPr>
              <w:widowControl/>
              <w:rPr>
                <w:rFonts w:ascii="Calibri" w:hAnsi="Calibri"/>
                <w:color w:val="000000"/>
                <w:szCs w:val="22"/>
                <w:lang w:eastAsia="en-GB" w:bidi="ar-SA"/>
              </w:rPr>
            </w:pPr>
            <w:r w:rsidRPr="00F00FBC">
              <w:rPr>
                <w:rFonts w:ascii="Calibri" w:hAnsi="Calibri"/>
                <w:color w:val="000000"/>
                <w:szCs w:val="22"/>
                <w:lang w:eastAsia="en-GB" w:bidi="ar-SA"/>
              </w:rPr>
              <w:t>Australia</w:t>
            </w:r>
          </w:p>
        </w:tc>
        <w:tc>
          <w:tcPr>
            <w:tcW w:w="2030" w:type="dxa"/>
            <w:tcBorders>
              <w:top w:val="single" w:sz="4" w:space="0" w:color="auto"/>
              <w:left w:val="nil"/>
              <w:bottom w:val="single" w:sz="4" w:space="0" w:color="auto"/>
              <w:right w:val="single" w:sz="4" w:space="0" w:color="auto"/>
            </w:tcBorders>
            <w:shd w:val="clear" w:color="auto" w:fill="auto"/>
            <w:noWrap/>
            <w:vAlign w:val="bottom"/>
          </w:tcPr>
          <w:p w14:paraId="6E0D82D6" w14:textId="77777777" w:rsidR="005034D7" w:rsidRPr="00F00FBC" w:rsidRDefault="005034D7" w:rsidP="00A21146">
            <w:pPr>
              <w:widowControl/>
              <w:rPr>
                <w:rFonts w:ascii="Calibri" w:hAnsi="Calibri"/>
                <w:color w:val="000000"/>
                <w:szCs w:val="22"/>
                <w:lang w:eastAsia="en-GB" w:bidi="ar-SA"/>
              </w:rPr>
            </w:pPr>
            <w:r w:rsidRPr="00F00FBC">
              <w:rPr>
                <w:rFonts w:ascii="Calibri" w:hAnsi="Calibri"/>
                <w:color w:val="000000"/>
                <w:szCs w:val="22"/>
                <w:lang w:eastAsia="en-GB" w:bidi="ar-SA"/>
              </w:rPr>
              <w:t>12 years and above</w:t>
            </w:r>
          </w:p>
        </w:tc>
        <w:tc>
          <w:tcPr>
            <w:tcW w:w="2506" w:type="dxa"/>
            <w:tcBorders>
              <w:top w:val="single" w:sz="4" w:space="0" w:color="auto"/>
              <w:left w:val="nil"/>
              <w:bottom w:val="single" w:sz="4" w:space="0" w:color="auto"/>
              <w:right w:val="single" w:sz="4" w:space="0" w:color="auto"/>
            </w:tcBorders>
          </w:tcPr>
          <w:p w14:paraId="6E0D82D7" w14:textId="77777777" w:rsidR="005034D7" w:rsidRPr="00F00FBC" w:rsidRDefault="005034D7" w:rsidP="00A21146">
            <w:pPr>
              <w:widowControl/>
              <w:jc w:val="center"/>
              <w:rPr>
                <w:rFonts w:ascii="Calibri" w:hAnsi="Calibri"/>
                <w:color w:val="000000"/>
                <w:szCs w:val="22"/>
                <w:lang w:eastAsia="en-GB" w:bidi="ar-SA"/>
              </w:rPr>
            </w:pPr>
            <w:r w:rsidRPr="00F00FBC">
              <w:rPr>
                <w:rFonts w:ascii="Calibri" w:hAnsi="Calibri"/>
                <w:color w:val="000000"/>
                <w:szCs w:val="22"/>
                <w:lang w:eastAsia="en-GB" w:bidi="ar-SA"/>
              </w:rPr>
              <w:t>4</w:t>
            </w:r>
          </w:p>
        </w:tc>
        <w:tc>
          <w:tcPr>
            <w:tcW w:w="2835" w:type="dxa"/>
            <w:tcBorders>
              <w:top w:val="single" w:sz="4" w:space="0" w:color="auto"/>
              <w:left w:val="single" w:sz="4" w:space="0" w:color="auto"/>
              <w:bottom w:val="single" w:sz="4" w:space="0" w:color="auto"/>
              <w:right w:val="single" w:sz="4" w:space="0" w:color="auto"/>
            </w:tcBorders>
          </w:tcPr>
          <w:p w14:paraId="6E0D82D8" w14:textId="77777777" w:rsidR="005034D7" w:rsidRPr="00F00FBC" w:rsidRDefault="005034D7" w:rsidP="00A21146">
            <w:pPr>
              <w:widowControl/>
              <w:jc w:val="center"/>
              <w:rPr>
                <w:rFonts w:ascii="Calibri" w:hAnsi="Calibri"/>
                <w:color w:val="000000"/>
                <w:szCs w:val="22"/>
                <w:lang w:eastAsia="en-GB" w:bidi="ar-SA"/>
              </w:rPr>
            </w:pPr>
            <w:r w:rsidRPr="00F00FBC">
              <w:rPr>
                <w:rFonts w:ascii="Calibri" w:hAnsi="Calibri"/>
                <w:color w:val="000000"/>
                <w:szCs w:val="22"/>
                <w:lang w:eastAsia="en-GB" w:bidi="ar-SA"/>
              </w:rPr>
              <w:t>6</w:t>
            </w:r>
          </w:p>
        </w:tc>
      </w:tr>
      <w:tr w:rsidR="005034D7" w:rsidRPr="00BD773F" w14:paraId="6E0D82DE" w14:textId="77777777" w:rsidTr="00A21146">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6E0D82DA" w14:textId="77777777" w:rsidR="005034D7" w:rsidRPr="00F00FBC" w:rsidRDefault="005034D7" w:rsidP="00A21146">
            <w:pPr>
              <w:widowControl/>
              <w:rPr>
                <w:rFonts w:ascii="Calibri" w:hAnsi="Calibri"/>
                <w:color w:val="000000"/>
                <w:szCs w:val="22"/>
                <w:lang w:eastAsia="en-GB" w:bidi="ar-SA"/>
              </w:rPr>
            </w:pPr>
            <w:r w:rsidRPr="00F00FBC">
              <w:rPr>
                <w:rFonts w:ascii="Calibri" w:hAnsi="Calibri"/>
                <w:color w:val="000000"/>
                <w:szCs w:val="22"/>
                <w:lang w:eastAsia="en-GB" w:bidi="ar-SA"/>
              </w:rPr>
              <w:t>New Zealand</w:t>
            </w:r>
          </w:p>
        </w:tc>
        <w:tc>
          <w:tcPr>
            <w:tcW w:w="2030" w:type="dxa"/>
            <w:tcBorders>
              <w:top w:val="nil"/>
              <w:left w:val="nil"/>
              <w:bottom w:val="single" w:sz="4" w:space="0" w:color="auto"/>
              <w:right w:val="single" w:sz="4" w:space="0" w:color="auto"/>
            </w:tcBorders>
            <w:shd w:val="clear" w:color="auto" w:fill="auto"/>
            <w:noWrap/>
            <w:vAlign w:val="bottom"/>
            <w:hideMark/>
          </w:tcPr>
          <w:p w14:paraId="6E0D82DB" w14:textId="77777777" w:rsidR="005034D7" w:rsidRPr="00F00FBC" w:rsidRDefault="005034D7" w:rsidP="00A21146">
            <w:pPr>
              <w:widowControl/>
              <w:rPr>
                <w:rFonts w:ascii="Calibri" w:hAnsi="Calibri"/>
                <w:color w:val="000000"/>
                <w:szCs w:val="22"/>
                <w:lang w:eastAsia="en-GB" w:bidi="ar-SA"/>
              </w:rPr>
            </w:pPr>
            <w:r w:rsidRPr="00F00FBC">
              <w:rPr>
                <w:rFonts w:ascii="Calibri" w:hAnsi="Calibri"/>
                <w:color w:val="000000"/>
                <w:szCs w:val="22"/>
                <w:lang w:eastAsia="en-GB" w:bidi="ar-SA"/>
              </w:rPr>
              <w:t>12 years and above</w:t>
            </w:r>
          </w:p>
        </w:tc>
        <w:tc>
          <w:tcPr>
            <w:tcW w:w="2506" w:type="dxa"/>
            <w:tcBorders>
              <w:top w:val="single" w:sz="4" w:space="0" w:color="auto"/>
              <w:left w:val="nil"/>
              <w:bottom w:val="single" w:sz="4" w:space="0" w:color="auto"/>
              <w:right w:val="single" w:sz="4" w:space="0" w:color="auto"/>
            </w:tcBorders>
          </w:tcPr>
          <w:p w14:paraId="6E0D82DC" w14:textId="77777777" w:rsidR="005034D7" w:rsidRPr="00F00FBC" w:rsidRDefault="005034D7" w:rsidP="00A21146">
            <w:pPr>
              <w:widowControl/>
              <w:jc w:val="center"/>
              <w:rPr>
                <w:rFonts w:ascii="Calibri" w:hAnsi="Calibri"/>
                <w:color w:val="000000"/>
                <w:szCs w:val="22"/>
                <w:lang w:eastAsia="en-GB" w:bidi="ar-SA"/>
              </w:rPr>
            </w:pPr>
            <w:r w:rsidRPr="00F00FBC">
              <w:rPr>
                <w:rFonts w:ascii="Calibri" w:hAnsi="Calibri"/>
                <w:color w:val="000000"/>
                <w:szCs w:val="22"/>
                <w:lang w:eastAsia="en-GB" w:bidi="ar-SA"/>
              </w:rPr>
              <w:t>3</w:t>
            </w:r>
          </w:p>
        </w:tc>
        <w:tc>
          <w:tcPr>
            <w:tcW w:w="2835" w:type="dxa"/>
            <w:tcBorders>
              <w:top w:val="single" w:sz="4" w:space="0" w:color="auto"/>
              <w:left w:val="single" w:sz="4" w:space="0" w:color="auto"/>
              <w:bottom w:val="single" w:sz="4" w:space="0" w:color="auto"/>
              <w:right w:val="single" w:sz="4" w:space="0" w:color="auto"/>
            </w:tcBorders>
          </w:tcPr>
          <w:p w14:paraId="6E0D82DD" w14:textId="77777777" w:rsidR="005034D7" w:rsidRPr="00F00FBC" w:rsidRDefault="005034D7" w:rsidP="00A21146">
            <w:pPr>
              <w:widowControl/>
              <w:jc w:val="center"/>
              <w:rPr>
                <w:rFonts w:ascii="Calibri" w:hAnsi="Calibri"/>
                <w:color w:val="000000"/>
                <w:szCs w:val="22"/>
                <w:lang w:eastAsia="en-GB" w:bidi="ar-SA"/>
              </w:rPr>
            </w:pPr>
            <w:r w:rsidRPr="00F00FBC">
              <w:rPr>
                <w:rFonts w:ascii="Calibri" w:hAnsi="Calibri"/>
                <w:color w:val="000000"/>
                <w:szCs w:val="22"/>
                <w:lang w:eastAsia="en-GB" w:bidi="ar-SA"/>
              </w:rPr>
              <w:t>6</w:t>
            </w:r>
          </w:p>
        </w:tc>
      </w:tr>
    </w:tbl>
    <w:p w14:paraId="6E0D82DF" w14:textId="77777777" w:rsidR="005034D7" w:rsidRDefault="005034D7" w:rsidP="00AA3CE3">
      <w:pPr>
        <w:pStyle w:val="FSTableTitle"/>
        <w:keepNext/>
      </w:pPr>
    </w:p>
    <w:p w14:paraId="6E0D82E0" w14:textId="77777777" w:rsidR="005034D7" w:rsidRPr="005034D7" w:rsidRDefault="005034D7" w:rsidP="00613A06"/>
    <w:p w14:paraId="6E0D82E1" w14:textId="77777777" w:rsidR="00FA6E33" w:rsidRDefault="00FA6E33" w:rsidP="00AA3CE3">
      <w:pPr>
        <w:pStyle w:val="FSTableTitle"/>
        <w:keepNext/>
      </w:pPr>
      <w:r>
        <w:t>Table A2.</w:t>
      </w:r>
      <w:bookmarkEnd w:id="90"/>
      <w:r w:rsidR="005034D7">
        <w:t>2</w:t>
      </w:r>
      <w:r>
        <w:t xml:space="preserve">: </w:t>
      </w:r>
      <w:r w:rsidRPr="00B9351F">
        <w:t xml:space="preserve">Estimated </w:t>
      </w:r>
      <w:r>
        <w:t xml:space="preserve">consumption </w:t>
      </w:r>
      <w:r w:rsidR="00AA3CE3">
        <w:t xml:space="preserve">of </w:t>
      </w:r>
      <w:r w:rsidR="00AA3CE3" w:rsidRPr="009B7D8E">
        <w:t>intense sweetened</w:t>
      </w:r>
      <w:r>
        <w:t xml:space="preserve"> </w:t>
      </w:r>
      <w:r w:rsidR="00AA3CE3">
        <w:t>intensely</w:t>
      </w:r>
      <w:r>
        <w:t xml:space="preserve"> </w:t>
      </w:r>
      <w:r w:rsidR="008A1B0C">
        <w:t>c</w:t>
      </w:r>
      <w:r>
        <w:t>hewing gum</w:t>
      </w:r>
    </w:p>
    <w:p w14:paraId="6E0D82E2" w14:textId="77777777" w:rsidR="002A1327" w:rsidRPr="002A1327" w:rsidRDefault="002A1327" w:rsidP="00D90F8F"/>
    <w:tbl>
      <w:tblPr>
        <w:tblW w:w="12608" w:type="dxa"/>
        <w:tblInd w:w="93" w:type="dxa"/>
        <w:tblLook w:val="04A0" w:firstRow="1" w:lastRow="0" w:firstColumn="1" w:lastColumn="0" w:noHBand="0" w:noVBand="1"/>
      </w:tblPr>
      <w:tblGrid>
        <w:gridCol w:w="1760"/>
        <w:gridCol w:w="960"/>
        <w:gridCol w:w="2300"/>
        <w:gridCol w:w="2103"/>
        <w:gridCol w:w="810"/>
        <w:gridCol w:w="1293"/>
        <w:gridCol w:w="1681"/>
        <w:gridCol w:w="1701"/>
      </w:tblGrid>
      <w:tr w:rsidR="00925A7B" w:rsidRPr="006A15AE" w14:paraId="6E0D82EB" w14:textId="77777777" w:rsidTr="00360DB2">
        <w:trPr>
          <w:trHeight w:val="277"/>
        </w:trPr>
        <w:tc>
          <w:tcPr>
            <w:tcW w:w="176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6E0D82E3" w14:textId="77777777" w:rsidR="00925A7B" w:rsidRPr="006A15AE" w:rsidRDefault="00925A7B" w:rsidP="006A15AE">
            <w:pPr>
              <w:rPr>
                <w:rFonts w:ascii="Calibri" w:hAnsi="Calibri"/>
                <w:b/>
                <w:bCs/>
                <w:color w:val="000000"/>
                <w:szCs w:val="22"/>
                <w:lang w:eastAsia="en-GB" w:bidi="ar-SA"/>
              </w:rPr>
            </w:pPr>
            <w:r w:rsidRPr="006A15AE">
              <w:rPr>
                <w:rFonts w:ascii="Calibri" w:hAnsi="Calibri"/>
                <w:b/>
                <w:bCs/>
                <w:color w:val="000000"/>
                <w:szCs w:val="22"/>
                <w:lang w:eastAsia="en-GB" w:bidi="ar-SA"/>
              </w:rPr>
              <w:t>Country</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2E4" w14:textId="77777777" w:rsidR="00925A7B" w:rsidRPr="006A15AE" w:rsidRDefault="00925A7B" w:rsidP="006A15AE">
            <w:pPr>
              <w:widowControl/>
              <w:rPr>
                <w:rFonts w:ascii="Calibri" w:hAnsi="Calibri"/>
                <w:b/>
                <w:bCs/>
                <w:color w:val="000000"/>
                <w:szCs w:val="22"/>
                <w:lang w:eastAsia="en-GB" w:bidi="ar-SA"/>
              </w:rPr>
            </w:pPr>
            <w:r w:rsidRPr="006A15AE">
              <w:rPr>
                <w:rFonts w:ascii="Calibri" w:hAnsi="Calibri"/>
                <w:b/>
                <w:bCs/>
                <w:color w:val="000000"/>
                <w:szCs w:val="22"/>
                <w:lang w:eastAsia="en-GB" w:bidi="ar-SA"/>
              </w:rPr>
              <w:t>Survey</w:t>
            </w:r>
          </w:p>
        </w:tc>
        <w:tc>
          <w:tcPr>
            <w:tcW w:w="2300"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6E0D82E5" w14:textId="77777777" w:rsidR="00925A7B" w:rsidRPr="006A15AE" w:rsidRDefault="00925A7B" w:rsidP="006A15AE">
            <w:pPr>
              <w:widowControl/>
              <w:rPr>
                <w:rFonts w:cs="Arial"/>
                <w:b/>
                <w:bCs/>
                <w:color w:val="000000"/>
                <w:szCs w:val="22"/>
                <w:lang w:eastAsia="en-GB" w:bidi="ar-SA"/>
              </w:rPr>
            </w:pPr>
            <w:r w:rsidRPr="006A15AE">
              <w:rPr>
                <w:rFonts w:cs="Arial"/>
                <w:b/>
                <w:bCs/>
                <w:color w:val="000000"/>
                <w:szCs w:val="22"/>
                <w:lang w:eastAsia="en-GB" w:bidi="ar-SA"/>
              </w:rPr>
              <w:t>Age group</w:t>
            </w:r>
          </w:p>
        </w:tc>
        <w:tc>
          <w:tcPr>
            <w:tcW w:w="2103" w:type="dxa"/>
            <w:vMerge w:val="restart"/>
            <w:tcBorders>
              <w:top w:val="single" w:sz="4" w:space="0" w:color="auto"/>
              <w:left w:val="single" w:sz="4" w:space="0" w:color="auto"/>
              <w:right w:val="single" w:sz="4" w:space="0" w:color="auto"/>
            </w:tcBorders>
          </w:tcPr>
          <w:p w14:paraId="6E0D82E6" w14:textId="1430C4F7" w:rsidR="00925A7B" w:rsidRPr="009B5E36" w:rsidRDefault="00925A7B" w:rsidP="006A15AE">
            <w:pPr>
              <w:widowControl/>
              <w:rPr>
                <w:b/>
                <w:lang w:eastAsia="en-GB" w:bidi="ar-SA"/>
              </w:rPr>
            </w:pPr>
            <w:r>
              <w:rPr>
                <w:b/>
                <w:lang w:eastAsia="en-GB" w:bidi="ar-SA"/>
              </w:rPr>
              <w:t xml:space="preserve">No. </w:t>
            </w:r>
            <w:r w:rsidR="00FB77B3">
              <w:rPr>
                <w:b/>
                <w:lang w:eastAsia="en-GB" w:bidi="ar-SA"/>
              </w:rPr>
              <w:t>Respondents</w:t>
            </w:r>
          </w:p>
          <w:p w14:paraId="6E0D82E7" w14:textId="77777777" w:rsidR="00925A7B" w:rsidRPr="00454CD9" w:rsidRDefault="00925A7B" w:rsidP="009B5E36">
            <w:pPr>
              <w:widowControl/>
              <w:jc w:val="center"/>
              <w:rPr>
                <w:rFonts w:cs="Arial"/>
                <w:b/>
                <w:bCs/>
                <w:color w:val="000000"/>
                <w:szCs w:val="22"/>
                <w:lang w:eastAsia="en-GB" w:bidi="ar-SA"/>
              </w:rPr>
            </w:pPr>
          </w:p>
          <w:p w14:paraId="6E0D82E8" w14:textId="77777777" w:rsidR="00925A7B" w:rsidRPr="009B5E36" w:rsidRDefault="00925A7B" w:rsidP="009B5E36">
            <w:pPr>
              <w:jc w:val="center"/>
              <w:rPr>
                <w:b/>
                <w:lang w:eastAsia="en-GB" w:bidi="ar-SA"/>
              </w:rPr>
            </w:pPr>
          </w:p>
        </w:tc>
        <w:tc>
          <w:tcPr>
            <w:tcW w:w="2103" w:type="dxa"/>
            <w:gridSpan w:val="2"/>
            <w:tcBorders>
              <w:top w:val="single" w:sz="8" w:space="0" w:color="auto"/>
              <w:left w:val="single" w:sz="4" w:space="0" w:color="auto"/>
              <w:bottom w:val="single" w:sz="8" w:space="0" w:color="auto"/>
              <w:right w:val="single" w:sz="8" w:space="0" w:color="000000"/>
            </w:tcBorders>
            <w:shd w:val="clear" w:color="auto" w:fill="auto"/>
            <w:noWrap/>
            <w:hideMark/>
          </w:tcPr>
          <w:p w14:paraId="6E0D82E9" w14:textId="77777777" w:rsidR="00925A7B" w:rsidRPr="006A15AE" w:rsidRDefault="00925A7B" w:rsidP="006A15AE">
            <w:pPr>
              <w:widowControl/>
              <w:rPr>
                <w:rFonts w:cs="Arial"/>
                <w:b/>
                <w:bCs/>
                <w:color w:val="000000"/>
                <w:szCs w:val="22"/>
                <w:lang w:eastAsia="en-GB" w:bidi="ar-SA"/>
              </w:rPr>
            </w:pPr>
            <w:r w:rsidRPr="009B5E36">
              <w:rPr>
                <w:b/>
                <w:lang w:eastAsia="en-GB" w:bidi="ar-SA"/>
              </w:rPr>
              <w:t>Consumers</w:t>
            </w:r>
          </w:p>
        </w:tc>
        <w:tc>
          <w:tcPr>
            <w:tcW w:w="3382" w:type="dxa"/>
            <w:gridSpan w:val="2"/>
            <w:tcBorders>
              <w:top w:val="single" w:sz="8" w:space="0" w:color="auto"/>
              <w:left w:val="nil"/>
              <w:bottom w:val="single" w:sz="8" w:space="0" w:color="auto"/>
              <w:right w:val="single" w:sz="8" w:space="0" w:color="000000"/>
            </w:tcBorders>
            <w:shd w:val="clear" w:color="auto" w:fill="auto"/>
            <w:vAlign w:val="center"/>
            <w:hideMark/>
          </w:tcPr>
          <w:p w14:paraId="6E0D82EA" w14:textId="77777777" w:rsidR="00925A7B" w:rsidRPr="006A15AE" w:rsidRDefault="00925A7B" w:rsidP="006A15AE">
            <w:pPr>
              <w:widowControl/>
              <w:rPr>
                <w:rFonts w:cs="Arial"/>
                <w:b/>
                <w:bCs/>
                <w:color w:val="000000"/>
                <w:szCs w:val="22"/>
                <w:lang w:eastAsia="en-GB" w:bidi="ar-SA"/>
              </w:rPr>
            </w:pPr>
            <w:r w:rsidRPr="006A15AE">
              <w:rPr>
                <w:rFonts w:cs="Arial"/>
                <w:b/>
                <w:bCs/>
                <w:color w:val="000000"/>
                <w:szCs w:val="22"/>
                <w:lang w:eastAsia="en-GB" w:bidi="ar-SA"/>
              </w:rPr>
              <w:t xml:space="preserve">Consumption (Day1 </w:t>
            </w:r>
            <w:r w:rsidR="005034D7">
              <w:rPr>
                <w:rFonts w:cs="Arial"/>
                <w:b/>
                <w:bCs/>
                <w:color w:val="000000"/>
                <w:szCs w:val="22"/>
                <w:lang w:eastAsia="en-GB" w:bidi="ar-SA"/>
              </w:rPr>
              <w:t xml:space="preserve">consumers </w:t>
            </w:r>
            <w:r w:rsidRPr="006A15AE">
              <w:rPr>
                <w:rFonts w:cs="Arial"/>
                <w:b/>
                <w:bCs/>
                <w:color w:val="000000"/>
                <w:szCs w:val="22"/>
                <w:lang w:eastAsia="en-GB" w:bidi="ar-SA"/>
              </w:rPr>
              <w:t>only)</w:t>
            </w:r>
          </w:p>
        </w:tc>
      </w:tr>
      <w:tr w:rsidR="00925A7B" w:rsidRPr="006A15AE" w14:paraId="6E0D82F4" w14:textId="77777777" w:rsidTr="00360DB2">
        <w:trPr>
          <w:trHeight w:val="300"/>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2EC" w14:textId="77777777" w:rsidR="00925A7B" w:rsidRPr="006A15AE" w:rsidRDefault="00925A7B" w:rsidP="006A15AE">
            <w:pPr>
              <w:widowControl/>
              <w:rPr>
                <w:rFonts w:ascii="Calibri" w:hAnsi="Calibri"/>
                <w:b/>
                <w:bCs/>
                <w:color w:val="000000"/>
                <w:szCs w:val="22"/>
                <w:lang w:eastAsia="en-GB" w:bidi="ar-S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E0D82ED" w14:textId="77777777" w:rsidR="00925A7B" w:rsidRPr="006A15AE" w:rsidRDefault="00925A7B" w:rsidP="006A15AE">
            <w:pPr>
              <w:widowControl/>
              <w:rPr>
                <w:rFonts w:ascii="Calibri" w:hAnsi="Calibri"/>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4" w:space="0" w:color="auto"/>
            </w:tcBorders>
            <w:vAlign w:val="center"/>
            <w:hideMark/>
          </w:tcPr>
          <w:p w14:paraId="6E0D82EE" w14:textId="77777777" w:rsidR="00925A7B" w:rsidRPr="006A15AE" w:rsidRDefault="00925A7B" w:rsidP="006A15AE">
            <w:pPr>
              <w:widowControl/>
              <w:rPr>
                <w:rFonts w:cs="Arial"/>
                <w:b/>
                <w:bCs/>
                <w:color w:val="000000"/>
                <w:szCs w:val="22"/>
                <w:lang w:eastAsia="en-GB" w:bidi="ar-SA"/>
              </w:rPr>
            </w:pPr>
          </w:p>
        </w:tc>
        <w:tc>
          <w:tcPr>
            <w:tcW w:w="2103" w:type="dxa"/>
            <w:vMerge/>
            <w:tcBorders>
              <w:left w:val="single" w:sz="4" w:space="0" w:color="auto"/>
              <w:right w:val="single" w:sz="4" w:space="0" w:color="auto"/>
            </w:tcBorders>
          </w:tcPr>
          <w:p w14:paraId="6E0D82EF" w14:textId="77777777" w:rsidR="00925A7B" w:rsidRPr="00454CD9" w:rsidRDefault="00925A7B" w:rsidP="009B5E36">
            <w:pPr>
              <w:jc w:val="center"/>
              <w:rPr>
                <w:rFonts w:cs="Arial"/>
                <w:b/>
                <w:bCs/>
                <w:color w:val="000000"/>
                <w:szCs w:val="22"/>
                <w:lang w:eastAsia="en-GB" w:bidi="ar-SA"/>
              </w:rPr>
            </w:pPr>
          </w:p>
        </w:tc>
        <w:tc>
          <w:tcPr>
            <w:tcW w:w="810" w:type="dxa"/>
            <w:tcBorders>
              <w:top w:val="nil"/>
              <w:left w:val="single" w:sz="4" w:space="0" w:color="auto"/>
              <w:bottom w:val="nil"/>
              <w:right w:val="single" w:sz="8" w:space="0" w:color="auto"/>
            </w:tcBorders>
            <w:shd w:val="clear" w:color="auto" w:fill="auto"/>
            <w:noWrap/>
            <w:hideMark/>
          </w:tcPr>
          <w:p w14:paraId="6E0D82F0" w14:textId="77777777" w:rsidR="00925A7B" w:rsidRPr="00454CD9" w:rsidRDefault="00925A7B" w:rsidP="009B5E36">
            <w:pPr>
              <w:widowControl/>
              <w:jc w:val="center"/>
              <w:rPr>
                <w:rFonts w:cs="Arial"/>
                <w:b/>
                <w:bCs/>
                <w:color w:val="000000"/>
                <w:szCs w:val="22"/>
                <w:lang w:eastAsia="en-GB" w:bidi="ar-SA"/>
              </w:rPr>
            </w:pPr>
          </w:p>
        </w:tc>
        <w:tc>
          <w:tcPr>
            <w:tcW w:w="1293" w:type="dxa"/>
            <w:tcBorders>
              <w:top w:val="nil"/>
              <w:left w:val="nil"/>
              <w:bottom w:val="nil"/>
              <w:right w:val="single" w:sz="8" w:space="0" w:color="auto"/>
            </w:tcBorders>
            <w:shd w:val="clear" w:color="auto" w:fill="auto"/>
            <w:hideMark/>
          </w:tcPr>
          <w:p w14:paraId="6E0D82F1" w14:textId="77777777" w:rsidR="00925A7B" w:rsidRPr="00454CD9" w:rsidRDefault="00925A7B" w:rsidP="009B5E36">
            <w:pPr>
              <w:widowControl/>
              <w:jc w:val="center"/>
              <w:rPr>
                <w:rFonts w:cs="Arial"/>
                <w:b/>
                <w:bCs/>
                <w:color w:val="000000"/>
                <w:szCs w:val="22"/>
                <w:lang w:eastAsia="en-GB" w:bidi="ar-SA"/>
              </w:rPr>
            </w:pPr>
          </w:p>
        </w:tc>
        <w:tc>
          <w:tcPr>
            <w:tcW w:w="1681" w:type="dxa"/>
            <w:tcBorders>
              <w:top w:val="nil"/>
              <w:left w:val="nil"/>
              <w:bottom w:val="nil"/>
              <w:right w:val="single" w:sz="8" w:space="0" w:color="auto"/>
            </w:tcBorders>
            <w:shd w:val="clear" w:color="auto" w:fill="auto"/>
            <w:noWrap/>
            <w:hideMark/>
          </w:tcPr>
          <w:p w14:paraId="6E0D82F2" w14:textId="77777777" w:rsidR="00925A7B" w:rsidRPr="006A15AE" w:rsidRDefault="00925A7B" w:rsidP="009B5E36">
            <w:pPr>
              <w:widowControl/>
              <w:jc w:val="center"/>
              <w:rPr>
                <w:rFonts w:cs="Arial"/>
                <w:b/>
                <w:bCs/>
                <w:color w:val="000000"/>
                <w:szCs w:val="22"/>
                <w:lang w:eastAsia="en-GB" w:bidi="ar-SA"/>
              </w:rPr>
            </w:pPr>
            <w:r w:rsidRPr="006A15AE">
              <w:rPr>
                <w:rFonts w:cs="Arial"/>
                <w:b/>
                <w:bCs/>
                <w:color w:val="000000"/>
                <w:szCs w:val="22"/>
                <w:lang w:eastAsia="en-GB" w:bidi="ar-SA"/>
              </w:rPr>
              <w:t>Mean</w:t>
            </w:r>
          </w:p>
        </w:tc>
        <w:tc>
          <w:tcPr>
            <w:tcW w:w="1701" w:type="dxa"/>
            <w:tcBorders>
              <w:top w:val="nil"/>
              <w:left w:val="nil"/>
              <w:bottom w:val="nil"/>
              <w:right w:val="single" w:sz="8" w:space="0" w:color="auto"/>
            </w:tcBorders>
            <w:shd w:val="clear" w:color="auto" w:fill="auto"/>
            <w:noWrap/>
            <w:hideMark/>
          </w:tcPr>
          <w:p w14:paraId="6E0D82F3" w14:textId="77777777" w:rsidR="00925A7B" w:rsidRPr="006A15AE" w:rsidRDefault="00925A7B" w:rsidP="009B5E36">
            <w:pPr>
              <w:widowControl/>
              <w:jc w:val="center"/>
              <w:rPr>
                <w:rFonts w:cs="Arial"/>
                <w:b/>
                <w:bCs/>
                <w:color w:val="000000"/>
                <w:szCs w:val="22"/>
                <w:lang w:eastAsia="en-GB" w:bidi="ar-SA"/>
              </w:rPr>
            </w:pPr>
            <w:r w:rsidRPr="006A15AE">
              <w:rPr>
                <w:rFonts w:cs="Arial"/>
                <w:b/>
                <w:bCs/>
                <w:color w:val="000000"/>
                <w:szCs w:val="22"/>
                <w:lang w:eastAsia="en-GB" w:bidi="ar-SA"/>
              </w:rPr>
              <w:t>90th</w:t>
            </w:r>
          </w:p>
        </w:tc>
      </w:tr>
      <w:tr w:rsidR="00925A7B" w:rsidRPr="006A15AE" w14:paraId="6E0D82FD" w14:textId="77777777" w:rsidTr="00360DB2">
        <w:trPr>
          <w:trHeight w:val="315"/>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2F5" w14:textId="77777777" w:rsidR="00925A7B" w:rsidRPr="006A15AE" w:rsidRDefault="00925A7B" w:rsidP="006A15AE">
            <w:pPr>
              <w:widowControl/>
              <w:rPr>
                <w:rFonts w:ascii="Calibri" w:hAnsi="Calibri"/>
                <w:b/>
                <w:bCs/>
                <w:color w:val="000000"/>
                <w:szCs w:val="22"/>
                <w:lang w:eastAsia="en-GB" w:bidi="ar-S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E0D82F6" w14:textId="77777777" w:rsidR="00925A7B" w:rsidRPr="006A15AE" w:rsidRDefault="00925A7B" w:rsidP="006A15AE">
            <w:pPr>
              <w:widowControl/>
              <w:rPr>
                <w:rFonts w:ascii="Calibri" w:hAnsi="Calibri"/>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4" w:space="0" w:color="auto"/>
            </w:tcBorders>
            <w:vAlign w:val="center"/>
            <w:hideMark/>
          </w:tcPr>
          <w:p w14:paraId="6E0D82F7" w14:textId="77777777" w:rsidR="00925A7B" w:rsidRPr="006A15AE" w:rsidRDefault="00925A7B" w:rsidP="006A15AE">
            <w:pPr>
              <w:widowControl/>
              <w:rPr>
                <w:rFonts w:cs="Arial"/>
                <w:b/>
                <w:bCs/>
                <w:color w:val="000000"/>
                <w:szCs w:val="22"/>
                <w:lang w:eastAsia="en-GB" w:bidi="ar-SA"/>
              </w:rPr>
            </w:pPr>
          </w:p>
        </w:tc>
        <w:tc>
          <w:tcPr>
            <w:tcW w:w="2103" w:type="dxa"/>
            <w:vMerge/>
            <w:tcBorders>
              <w:left w:val="single" w:sz="4" w:space="0" w:color="auto"/>
              <w:bottom w:val="single" w:sz="4" w:space="0" w:color="auto"/>
              <w:right w:val="single" w:sz="4" w:space="0" w:color="auto"/>
            </w:tcBorders>
          </w:tcPr>
          <w:p w14:paraId="6E0D82F8" w14:textId="77777777" w:rsidR="00925A7B" w:rsidRPr="00454CD9" w:rsidRDefault="00925A7B" w:rsidP="009B5E36">
            <w:pPr>
              <w:widowControl/>
              <w:jc w:val="center"/>
              <w:rPr>
                <w:rFonts w:cs="Arial"/>
                <w:b/>
                <w:bCs/>
                <w:color w:val="000000"/>
                <w:szCs w:val="22"/>
                <w:lang w:eastAsia="en-GB" w:bidi="ar-SA"/>
              </w:rPr>
            </w:pPr>
          </w:p>
        </w:tc>
        <w:tc>
          <w:tcPr>
            <w:tcW w:w="810" w:type="dxa"/>
            <w:tcBorders>
              <w:top w:val="nil"/>
              <w:left w:val="single" w:sz="4" w:space="0" w:color="auto"/>
              <w:bottom w:val="single" w:sz="8" w:space="0" w:color="auto"/>
              <w:right w:val="single" w:sz="8" w:space="0" w:color="auto"/>
            </w:tcBorders>
            <w:shd w:val="clear" w:color="auto" w:fill="auto"/>
            <w:noWrap/>
            <w:hideMark/>
          </w:tcPr>
          <w:p w14:paraId="6E0D82F9" w14:textId="77777777" w:rsidR="00925A7B" w:rsidRPr="00454CD9" w:rsidRDefault="00925A7B" w:rsidP="009B5E36">
            <w:pPr>
              <w:widowControl/>
              <w:jc w:val="center"/>
              <w:rPr>
                <w:rFonts w:cs="Arial"/>
                <w:b/>
                <w:bCs/>
                <w:color w:val="000000"/>
                <w:szCs w:val="22"/>
                <w:lang w:eastAsia="en-GB" w:bidi="ar-SA"/>
              </w:rPr>
            </w:pPr>
            <w:r w:rsidRPr="00454CD9">
              <w:rPr>
                <w:rFonts w:cs="Arial"/>
                <w:b/>
                <w:bCs/>
                <w:color w:val="000000"/>
                <w:szCs w:val="22"/>
                <w:lang w:eastAsia="en-GB" w:bidi="ar-SA"/>
              </w:rPr>
              <w:t>%</w:t>
            </w:r>
          </w:p>
        </w:tc>
        <w:tc>
          <w:tcPr>
            <w:tcW w:w="1293" w:type="dxa"/>
            <w:tcBorders>
              <w:top w:val="nil"/>
              <w:left w:val="nil"/>
              <w:bottom w:val="single" w:sz="8" w:space="0" w:color="auto"/>
              <w:right w:val="single" w:sz="8" w:space="0" w:color="auto"/>
            </w:tcBorders>
            <w:shd w:val="clear" w:color="auto" w:fill="auto"/>
            <w:hideMark/>
          </w:tcPr>
          <w:p w14:paraId="6E0D82FA" w14:textId="77777777" w:rsidR="00925A7B" w:rsidRPr="00454CD9" w:rsidRDefault="00925A7B" w:rsidP="009B5E36">
            <w:pPr>
              <w:widowControl/>
              <w:jc w:val="center"/>
              <w:rPr>
                <w:rFonts w:cs="Arial"/>
                <w:b/>
                <w:bCs/>
                <w:color w:val="000000"/>
                <w:szCs w:val="22"/>
                <w:lang w:eastAsia="en-GB" w:bidi="ar-SA"/>
              </w:rPr>
            </w:pPr>
            <w:r w:rsidRPr="00454CD9">
              <w:rPr>
                <w:rFonts w:cs="Arial"/>
                <w:b/>
                <w:bCs/>
                <w:color w:val="000000"/>
                <w:szCs w:val="22"/>
                <w:lang w:eastAsia="en-GB" w:bidi="ar-SA"/>
              </w:rPr>
              <w:t>count</w:t>
            </w:r>
          </w:p>
        </w:tc>
        <w:tc>
          <w:tcPr>
            <w:tcW w:w="1681" w:type="dxa"/>
            <w:tcBorders>
              <w:top w:val="nil"/>
              <w:left w:val="nil"/>
              <w:bottom w:val="single" w:sz="8" w:space="0" w:color="auto"/>
              <w:right w:val="single" w:sz="8" w:space="0" w:color="auto"/>
            </w:tcBorders>
            <w:shd w:val="clear" w:color="auto" w:fill="auto"/>
            <w:noWrap/>
            <w:hideMark/>
          </w:tcPr>
          <w:p w14:paraId="6E0D82FB" w14:textId="77777777" w:rsidR="00925A7B" w:rsidRPr="006A15AE" w:rsidRDefault="00925A7B" w:rsidP="009B5E36">
            <w:pPr>
              <w:widowControl/>
              <w:jc w:val="center"/>
              <w:rPr>
                <w:rFonts w:cs="Arial"/>
                <w:b/>
                <w:bCs/>
                <w:color w:val="000000"/>
                <w:szCs w:val="22"/>
                <w:lang w:eastAsia="en-GB" w:bidi="ar-SA"/>
              </w:rPr>
            </w:pPr>
            <w:r w:rsidRPr="006A15AE">
              <w:rPr>
                <w:rFonts w:cs="Arial"/>
                <w:b/>
                <w:bCs/>
                <w:color w:val="000000"/>
                <w:szCs w:val="22"/>
                <w:lang w:eastAsia="en-GB" w:bidi="ar-SA"/>
              </w:rPr>
              <w:t>g/day</w:t>
            </w:r>
          </w:p>
        </w:tc>
        <w:tc>
          <w:tcPr>
            <w:tcW w:w="1701" w:type="dxa"/>
            <w:tcBorders>
              <w:top w:val="nil"/>
              <w:left w:val="nil"/>
              <w:bottom w:val="single" w:sz="8" w:space="0" w:color="auto"/>
              <w:right w:val="single" w:sz="8" w:space="0" w:color="auto"/>
            </w:tcBorders>
            <w:shd w:val="clear" w:color="auto" w:fill="auto"/>
            <w:noWrap/>
            <w:hideMark/>
          </w:tcPr>
          <w:p w14:paraId="6E0D82FC" w14:textId="77777777" w:rsidR="00925A7B" w:rsidRPr="006A15AE" w:rsidRDefault="00925A7B" w:rsidP="009B5E36">
            <w:pPr>
              <w:widowControl/>
              <w:jc w:val="center"/>
              <w:rPr>
                <w:rFonts w:cs="Arial"/>
                <w:b/>
                <w:bCs/>
                <w:color w:val="000000"/>
                <w:szCs w:val="22"/>
                <w:lang w:eastAsia="en-GB" w:bidi="ar-SA"/>
              </w:rPr>
            </w:pPr>
            <w:r w:rsidRPr="006A15AE">
              <w:rPr>
                <w:rFonts w:cs="Arial"/>
                <w:b/>
                <w:bCs/>
                <w:color w:val="000000"/>
                <w:szCs w:val="22"/>
                <w:lang w:eastAsia="en-GB" w:bidi="ar-SA"/>
              </w:rPr>
              <w:t>g/day</w:t>
            </w:r>
          </w:p>
        </w:tc>
      </w:tr>
      <w:tr w:rsidR="00720453" w:rsidRPr="006A15AE" w14:paraId="6E0D8306" w14:textId="77777777" w:rsidTr="00613A06">
        <w:trPr>
          <w:trHeight w:val="315"/>
        </w:trPr>
        <w:tc>
          <w:tcPr>
            <w:tcW w:w="1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0D82FE" w14:textId="77777777" w:rsidR="00720453" w:rsidRPr="006A15AE" w:rsidRDefault="00720453" w:rsidP="009B5E36">
            <w:pPr>
              <w:widowControl/>
              <w:rPr>
                <w:rFonts w:ascii="Calibri" w:hAnsi="Calibri"/>
                <w:color w:val="000000"/>
                <w:szCs w:val="22"/>
                <w:lang w:eastAsia="en-GB" w:bidi="ar-SA"/>
              </w:rPr>
            </w:pPr>
            <w:r w:rsidRPr="006A15AE">
              <w:rPr>
                <w:rFonts w:ascii="Calibri" w:hAnsi="Calibri"/>
                <w:color w:val="000000"/>
                <w:szCs w:val="22"/>
                <w:lang w:eastAsia="en-GB" w:bidi="ar-SA"/>
              </w:rPr>
              <w:t>Australia</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0D82FF" w14:textId="77777777" w:rsidR="00720453" w:rsidRPr="006A15AE" w:rsidRDefault="00720453" w:rsidP="006A15AE">
            <w:pPr>
              <w:widowControl/>
              <w:rPr>
                <w:rFonts w:ascii="Calibri" w:hAnsi="Calibri"/>
                <w:color w:val="000000"/>
                <w:szCs w:val="22"/>
                <w:lang w:eastAsia="en-GB" w:bidi="ar-SA"/>
              </w:rPr>
            </w:pPr>
            <w:r w:rsidRPr="006A15AE">
              <w:rPr>
                <w:rFonts w:ascii="Calibri" w:hAnsi="Calibri"/>
                <w:color w:val="000000"/>
                <w:szCs w:val="22"/>
                <w:lang w:eastAsia="en-GB" w:bidi="ar-SA"/>
              </w:rPr>
              <w:t>2011</w:t>
            </w:r>
          </w:p>
        </w:tc>
        <w:tc>
          <w:tcPr>
            <w:tcW w:w="2300" w:type="dxa"/>
            <w:tcBorders>
              <w:top w:val="nil"/>
              <w:left w:val="nil"/>
              <w:bottom w:val="single" w:sz="8" w:space="0" w:color="auto"/>
              <w:right w:val="single" w:sz="4" w:space="0" w:color="auto"/>
            </w:tcBorders>
            <w:shd w:val="clear" w:color="auto" w:fill="auto"/>
            <w:noWrap/>
            <w:vAlign w:val="center"/>
            <w:hideMark/>
          </w:tcPr>
          <w:p w14:paraId="6E0D8300" w14:textId="77777777" w:rsidR="00720453" w:rsidRPr="006A15AE" w:rsidRDefault="00720453" w:rsidP="006A15AE">
            <w:pPr>
              <w:widowControl/>
              <w:rPr>
                <w:rFonts w:ascii="Calibri" w:hAnsi="Calibri"/>
                <w:color w:val="000000"/>
                <w:szCs w:val="22"/>
                <w:lang w:eastAsia="en-GB" w:bidi="ar-SA"/>
              </w:rPr>
            </w:pPr>
            <w:r w:rsidRPr="006A15AE">
              <w:rPr>
                <w:rFonts w:ascii="Calibri" w:hAnsi="Calibri"/>
                <w:color w:val="000000"/>
                <w:szCs w:val="22"/>
                <w:lang w:eastAsia="en-GB" w:bidi="ar-SA"/>
              </w:rPr>
              <w:t>2 years and above</w:t>
            </w:r>
          </w:p>
        </w:tc>
        <w:tc>
          <w:tcPr>
            <w:tcW w:w="2103" w:type="dxa"/>
            <w:tcBorders>
              <w:top w:val="single" w:sz="4" w:space="0" w:color="auto"/>
              <w:left w:val="single" w:sz="4" w:space="0" w:color="auto"/>
              <w:bottom w:val="single" w:sz="4" w:space="0" w:color="auto"/>
              <w:right w:val="single" w:sz="4" w:space="0" w:color="auto"/>
            </w:tcBorders>
          </w:tcPr>
          <w:p w14:paraId="6E0D8301" w14:textId="77777777" w:rsidR="00720453" w:rsidRPr="006A15AE" w:rsidRDefault="00925A7B" w:rsidP="006A15AE">
            <w:pPr>
              <w:widowControl/>
              <w:jc w:val="center"/>
              <w:rPr>
                <w:rFonts w:ascii="Calibri" w:hAnsi="Calibri"/>
                <w:color w:val="000000"/>
                <w:szCs w:val="22"/>
                <w:lang w:eastAsia="en-GB" w:bidi="ar-SA"/>
              </w:rPr>
            </w:pPr>
            <w:r>
              <w:rPr>
                <w:rFonts w:ascii="Calibri" w:hAnsi="Calibri"/>
                <w:color w:val="000000"/>
                <w:szCs w:val="22"/>
                <w:lang w:eastAsia="en-GB" w:bidi="ar-SA"/>
              </w:rPr>
              <w:t>12153</w:t>
            </w:r>
          </w:p>
        </w:tc>
        <w:tc>
          <w:tcPr>
            <w:tcW w:w="810" w:type="dxa"/>
            <w:tcBorders>
              <w:top w:val="nil"/>
              <w:left w:val="single" w:sz="4" w:space="0" w:color="auto"/>
              <w:bottom w:val="single" w:sz="8" w:space="0" w:color="auto"/>
              <w:right w:val="single" w:sz="8" w:space="0" w:color="auto"/>
            </w:tcBorders>
            <w:shd w:val="clear" w:color="auto" w:fill="auto"/>
            <w:noWrap/>
            <w:vAlign w:val="center"/>
            <w:hideMark/>
          </w:tcPr>
          <w:p w14:paraId="6E0D8302"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&lt;1%</w:t>
            </w:r>
          </w:p>
        </w:tc>
        <w:tc>
          <w:tcPr>
            <w:tcW w:w="1293" w:type="dxa"/>
            <w:tcBorders>
              <w:top w:val="nil"/>
              <w:left w:val="nil"/>
              <w:bottom w:val="single" w:sz="8" w:space="0" w:color="auto"/>
              <w:right w:val="single" w:sz="8" w:space="0" w:color="auto"/>
            </w:tcBorders>
            <w:shd w:val="clear" w:color="auto" w:fill="auto"/>
            <w:vAlign w:val="center"/>
            <w:hideMark/>
          </w:tcPr>
          <w:p w14:paraId="6E0D8303" w14:textId="77777777" w:rsidR="00720453" w:rsidRPr="006A15AE" w:rsidRDefault="00720453" w:rsidP="006A15AE">
            <w:pPr>
              <w:widowControl/>
              <w:jc w:val="center"/>
              <w:rPr>
                <w:rFonts w:ascii="Calibri" w:hAnsi="Calibri"/>
                <w:color w:val="000000"/>
                <w:szCs w:val="22"/>
                <w:lang w:eastAsia="en-GB" w:bidi="ar-SA"/>
              </w:rPr>
            </w:pPr>
            <w:r>
              <w:rPr>
                <w:rFonts w:ascii="Calibri" w:hAnsi="Calibri"/>
                <w:color w:val="000000"/>
                <w:szCs w:val="22"/>
                <w:lang w:eastAsia="en-GB" w:bidi="ar-SA"/>
              </w:rPr>
              <w:t>50</w:t>
            </w:r>
          </w:p>
        </w:tc>
        <w:tc>
          <w:tcPr>
            <w:tcW w:w="1681" w:type="dxa"/>
            <w:tcBorders>
              <w:top w:val="nil"/>
              <w:left w:val="nil"/>
              <w:bottom w:val="single" w:sz="8" w:space="0" w:color="auto"/>
              <w:right w:val="single" w:sz="8" w:space="0" w:color="auto"/>
            </w:tcBorders>
            <w:shd w:val="clear" w:color="auto" w:fill="auto"/>
            <w:noWrap/>
            <w:vAlign w:val="center"/>
            <w:hideMark/>
          </w:tcPr>
          <w:p w14:paraId="6E0D8304"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7.4</w:t>
            </w:r>
          </w:p>
        </w:tc>
        <w:tc>
          <w:tcPr>
            <w:tcW w:w="1701" w:type="dxa"/>
            <w:tcBorders>
              <w:top w:val="nil"/>
              <w:left w:val="nil"/>
              <w:bottom w:val="single" w:sz="8" w:space="0" w:color="auto"/>
              <w:right w:val="single" w:sz="8" w:space="0" w:color="auto"/>
            </w:tcBorders>
            <w:shd w:val="clear" w:color="auto" w:fill="auto"/>
            <w:noWrap/>
            <w:vAlign w:val="center"/>
            <w:hideMark/>
          </w:tcPr>
          <w:p w14:paraId="6E0D8305"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25</w:t>
            </w:r>
          </w:p>
        </w:tc>
      </w:tr>
      <w:tr w:rsidR="00720453" w:rsidRPr="006A15AE" w14:paraId="6E0D830F" w14:textId="77777777" w:rsidTr="00613A06">
        <w:trPr>
          <w:trHeight w:val="315"/>
        </w:trPr>
        <w:tc>
          <w:tcPr>
            <w:tcW w:w="1760" w:type="dxa"/>
            <w:vMerge/>
            <w:tcBorders>
              <w:top w:val="nil"/>
              <w:left w:val="single" w:sz="8" w:space="0" w:color="auto"/>
              <w:bottom w:val="single" w:sz="8" w:space="0" w:color="000000"/>
              <w:right w:val="single" w:sz="8" w:space="0" w:color="auto"/>
            </w:tcBorders>
            <w:shd w:val="clear" w:color="auto" w:fill="auto"/>
            <w:noWrap/>
            <w:vAlign w:val="center"/>
          </w:tcPr>
          <w:p w14:paraId="6E0D8307" w14:textId="77777777" w:rsidR="00720453" w:rsidRPr="006A15AE" w:rsidRDefault="00720453" w:rsidP="009B5E36">
            <w:pPr>
              <w:widowControl/>
              <w:rPr>
                <w:rFonts w:ascii="Calibri" w:hAnsi="Calibri"/>
                <w:color w:val="000000"/>
                <w:szCs w:val="22"/>
                <w:lang w:eastAsia="en-GB" w:bidi="ar-SA"/>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14:paraId="6E0D8308" w14:textId="77777777" w:rsidR="00720453" w:rsidRPr="006A15AE" w:rsidRDefault="00720453" w:rsidP="006A15AE">
            <w:pPr>
              <w:widowControl/>
              <w:rPr>
                <w:rFonts w:ascii="Calibri" w:hAnsi="Calibri"/>
                <w:color w:val="000000"/>
                <w:szCs w:val="22"/>
                <w:lang w:eastAsia="en-GB" w:bidi="ar-SA"/>
              </w:rPr>
            </w:pPr>
          </w:p>
        </w:tc>
        <w:tc>
          <w:tcPr>
            <w:tcW w:w="2300" w:type="dxa"/>
            <w:tcBorders>
              <w:top w:val="nil"/>
              <w:left w:val="nil"/>
              <w:bottom w:val="single" w:sz="8" w:space="0" w:color="auto"/>
              <w:right w:val="single" w:sz="4" w:space="0" w:color="auto"/>
            </w:tcBorders>
            <w:shd w:val="clear" w:color="auto" w:fill="auto"/>
            <w:noWrap/>
            <w:vAlign w:val="center"/>
          </w:tcPr>
          <w:p w14:paraId="6E0D8309" w14:textId="77777777" w:rsidR="00720453" w:rsidRPr="006A15AE" w:rsidRDefault="00720453" w:rsidP="006A15AE">
            <w:pPr>
              <w:widowControl/>
              <w:rPr>
                <w:rFonts w:ascii="Calibri" w:hAnsi="Calibri"/>
                <w:color w:val="000000"/>
                <w:szCs w:val="22"/>
                <w:lang w:eastAsia="en-GB" w:bidi="ar-SA"/>
              </w:rPr>
            </w:pPr>
            <w:r>
              <w:rPr>
                <w:rFonts w:ascii="Calibri" w:hAnsi="Calibri"/>
                <w:color w:val="000000"/>
                <w:szCs w:val="22"/>
                <w:lang w:eastAsia="en-GB" w:bidi="ar-SA"/>
              </w:rPr>
              <w:t>1</w:t>
            </w:r>
            <w:r w:rsidRPr="006A15AE">
              <w:rPr>
                <w:rFonts w:ascii="Calibri" w:hAnsi="Calibri"/>
                <w:color w:val="000000"/>
                <w:szCs w:val="22"/>
                <w:lang w:eastAsia="en-GB" w:bidi="ar-SA"/>
              </w:rPr>
              <w:t>2 years and above</w:t>
            </w:r>
          </w:p>
        </w:tc>
        <w:tc>
          <w:tcPr>
            <w:tcW w:w="2103" w:type="dxa"/>
            <w:tcBorders>
              <w:top w:val="single" w:sz="4" w:space="0" w:color="auto"/>
              <w:left w:val="single" w:sz="4" w:space="0" w:color="auto"/>
              <w:bottom w:val="single" w:sz="4" w:space="0" w:color="auto"/>
              <w:right w:val="single" w:sz="4" w:space="0" w:color="auto"/>
            </w:tcBorders>
          </w:tcPr>
          <w:p w14:paraId="6E0D830A" w14:textId="77777777" w:rsidR="00720453" w:rsidRPr="006A15AE" w:rsidRDefault="00925A7B" w:rsidP="006A15AE">
            <w:pPr>
              <w:widowControl/>
              <w:jc w:val="center"/>
              <w:rPr>
                <w:rFonts w:ascii="Calibri" w:hAnsi="Calibri"/>
                <w:color w:val="000000"/>
                <w:szCs w:val="22"/>
                <w:lang w:eastAsia="en-GB" w:bidi="ar-SA"/>
              </w:rPr>
            </w:pPr>
            <w:r>
              <w:rPr>
                <w:rFonts w:ascii="Calibri" w:hAnsi="Calibri"/>
                <w:color w:val="000000"/>
                <w:szCs w:val="22"/>
                <w:lang w:eastAsia="en-GB" w:bidi="ar-SA"/>
              </w:rPr>
              <w:t>10572</w:t>
            </w:r>
          </w:p>
        </w:tc>
        <w:tc>
          <w:tcPr>
            <w:tcW w:w="810" w:type="dxa"/>
            <w:tcBorders>
              <w:top w:val="nil"/>
              <w:left w:val="single" w:sz="4" w:space="0" w:color="auto"/>
              <w:bottom w:val="single" w:sz="8" w:space="0" w:color="auto"/>
              <w:right w:val="single" w:sz="8" w:space="0" w:color="auto"/>
            </w:tcBorders>
            <w:shd w:val="clear" w:color="auto" w:fill="auto"/>
            <w:noWrap/>
            <w:vAlign w:val="center"/>
          </w:tcPr>
          <w:p w14:paraId="6E0D830B"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&lt;1%</w:t>
            </w:r>
          </w:p>
        </w:tc>
        <w:tc>
          <w:tcPr>
            <w:tcW w:w="1293" w:type="dxa"/>
            <w:tcBorders>
              <w:top w:val="nil"/>
              <w:left w:val="nil"/>
              <w:bottom w:val="single" w:sz="8" w:space="0" w:color="auto"/>
              <w:right w:val="single" w:sz="8" w:space="0" w:color="auto"/>
            </w:tcBorders>
            <w:shd w:val="clear" w:color="auto" w:fill="auto"/>
            <w:vAlign w:val="center"/>
          </w:tcPr>
          <w:p w14:paraId="6E0D830C" w14:textId="77777777" w:rsidR="00720453" w:rsidRDefault="00720453" w:rsidP="006A15AE">
            <w:pPr>
              <w:widowControl/>
              <w:jc w:val="center"/>
              <w:rPr>
                <w:rFonts w:ascii="Calibri" w:hAnsi="Calibri"/>
                <w:color w:val="000000"/>
                <w:szCs w:val="22"/>
                <w:lang w:eastAsia="en-GB" w:bidi="ar-SA"/>
              </w:rPr>
            </w:pPr>
            <w:r>
              <w:rPr>
                <w:rFonts w:ascii="Calibri" w:hAnsi="Calibri"/>
                <w:color w:val="000000"/>
                <w:szCs w:val="22"/>
                <w:lang w:eastAsia="en-GB" w:bidi="ar-SA"/>
              </w:rPr>
              <w:t>47</w:t>
            </w:r>
          </w:p>
        </w:tc>
        <w:tc>
          <w:tcPr>
            <w:tcW w:w="1681" w:type="dxa"/>
            <w:tcBorders>
              <w:top w:val="nil"/>
              <w:left w:val="nil"/>
              <w:bottom w:val="single" w:sz="8" w:space="0" w:color="auto"/>
              <w:right w:val="single" w:sz="8" w:space="0" w:color="auto"/>
            </w:tcBorders>
            <w:shd w:val="clear" w:color="auto" w:fill="auto"/>
            <w:noWrap/>
            <w:vAlign w:val="center"/>
          </w:tcPr>
          <w:p w14:paraId="6E0D830D" w14:textId="77777777" w:rsidR="00720453" w:rsidRPr="006A15AE" w:rsidRDefault="00720453" w:rsidP="00720453">
            <w:pPr>
              <w:widowControl/>
              <w:jc w:val="center"/>
              <w:rPr>
                <w:rFonts w:ascii="Calibri" w:hAnsi="Calibri"/>
                <w:color w:val="000000"/>
                <w:szCs w:val="22"/>
                <w:lang w:eastAsia="en-GB" w:bidi="ar-SA"/>
              </w:rPr>
            </w:pPr>
            <w:r w:rsidRPr="006A15AE">
              <w:rPr>
                <w:rFonts w:ascii="Calibri" w:hAnsi="Calibri"/>
                <w:color w:val="000000"/>
                <w:szCs w:val="22"/>
                <w:lang w:eastAsia="en-GB" w:bidi="ar-SA"/>
              </w:rPr>
              <w:t>7.</w:t>
            </w:r>
            <w:r>
              <w:rPr>
                <w:rFonts w:ascii="Calibri" w:hAnsi="Calibri"/>
                <w:color w:val="000000"/>
                <w:szCs w:val="22"/>
                <w:lang w:eastAsia="en-GB" w:bidi="ar-SA"/>
              </w:rPr>
              <w:t>7</w:t>
            </w:r>
          </w:p>
        </w:tc>
        <w:tc>
          <w:tcPr>
            <w:tcW w:w="1701" w:type="dxa"/>
            <w:tcBorders>
              <w:top w:val="nil"/>
              <w:left w:val="nil"/>
              <w:bottom w:val="single" w:sz="8" w:space="0" w:color="auto"/>
              <w:right w:val="single" w:sz="8" w:space="0" w:color="auto"/>
            </w:tcBorders>
            <w:shd w:val="clear" w:color="auto" w:fill="auto"/>
            <w:noWrap/>
            <w:vAlign w:val="center"/>
          </w:tcPr>
          <w:p w14:paraId="6E0D830E"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25</w:t>
            </w:r>
          </w:p>
        </w:tc>
      </w:tr>
      <w:tr w:rsidR="00720453" w:rsidRPr="006A15AE" w14:paraId="6E0D8318" w14:textId="77777777" w:rsidTr="00613A06">
        <w:trPr>
          <w:trHeight w:val="315"/>
        </w:trPr>
        <w:tc>
          <w:tcPr>
            <w:tcW w:w="1760" w:type="dxa"/>
            <w:vMerge/>
            <w:tcBorders>
              <w:top w:val="nil"/>
              <w:left w:val="single" w:sz="8" w:space="0" w:color="auto"/>
              <w:bottom w:val="single" w:sz="8" w:space="0" w:color="000000"/>
              <w:right w:val="single" w:sz="8" w:space="0" w:color="auto"/>
            </w:tcBorders>
            <w:shd w:val="clear" w:color="auto" w:fill="auto"/>
            <w:noWrap/>
            <w:vAlign w:val="center"/>
          </w:tcPr>
          <w:p w14:paraId="6E0D8310" w14:textId="77777777" w:rsidR="00720453" w:rsidRPr="006A15AE" w:rsidRDefault="00720453" w:rsidP="009B5E36">
            <w:pPr>
              <w:widowControl/>
              <w:rPr>
                <w:rFonts w:ascii="Calibri" w:hAnsi="Calibri"/>
                <w:color w:val="000000"/>
                <w:szCs w:val="22"/>
                <w:lang w:eastAsia="en-GB" w:bidi="ar-SA"/>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14:paraId="6E0D8311" w14:textId="77777777" w:rsidR="00720453" w:rsidRPr="006A15AE" w:rsidRDefault="00720453" w:rsidP="006A15AE">
            <w:pPr>
              <w:widowControl/>
              <w:rPr>
                <w:rFonts w:ascii="Calibri" w:hAnsi="Calibri"/>
                <w:color w:val="000000"/>
                <w:szCs w:val="22"/>
                <w:lang w:eastAsia="en-GB" w:bidi="ar-SA"/>
              </w:rPr>
            </w:pPr>
          </w:p>
        </w:tc>
        <w:tc>
          <w:tcPr>
            <w:tcW w:w="2300" w:type="dxa"/>
            <w:tcBorders>
              <w:top w:val="nil"/>
              <w:left w:val="nil"/>
              <w:bottom w:val="single" w:sz="8" w:space="0" w:color="auto"/>
              <w:right w:val="single" w:sz="4" w:space="0" w:color="auto"/>
            </w:tcBorders>
            <w:shd w:val="clear" w:color="auto" w:fill="auto"/>
            <w:noWrap/>
            <w:vAlign w:val="center"/>
          </w:tcPr>
          <w:p w14:paraId="6E0D8312" w14:textId="77777777" w:rsidR="00720453" w:rsidRDefault="00720453" w:rsidP="006A15AE">
            <w:pPr>
              <w:widowControl/>
              <w:rPr>
                <w:rFonts w:ascii="Calibri" w:hAnsi="Calibri"/>
                <w:color w:val="000000"/>
                <w:szCs w:val="22"/>
                <w:lang w:eastAsia="en-GB" w:bidi="ar-SA"/>
              </w:rPr>
            </w:pPr>
            <w:r>
              <w:rPr>
                <w:rFonts w:ascii="Calibri" w:hAnsi="Calibri"/>
                <w:color w:val="000000"/>
                <w:szCs w:val="22"/>
                <w:lang w:eastAsia="en-GB" w:bidi="ar-SA"/>
              </w:rPr>
              <w:t>7-11 years</w:t>
            </w:r>
          </w:p>
        </w:tc>
        <w:tc>
          <w:tcPr>
            <w:tcW w:w="2103" w:type="dxa"/>
            <w:tcBorders>
              <w:top w:val="single" w:sz="4" w:space="0" w:color="auto"/>
              <w:left w:val="single" w:sz="4" w:space="0" w:color="auto"/>
              <w:bottom w:val="single" w:sz="4" w:space="0" w:color="auto"/>
              <w:right w:val="single" w:sz="4" w:space="0" w:color="auto"/>
            </w:tcBorders>
          </w:tcPr>
          <w:p w14:paraId="6E0D8313" w14:textId="77777777" w:rsidR="00720453" w:rsidRPr="006A15AE" w:rsidRDefault="00925A7B" w:rsidP="006A15AE">
            <w:pPr>
              <w:widowControl/>
              <w:jc w:val="center"/>
              <w:rPr>
                <w:rFonts w:ascii="Calibri" w:hAnsi="Calibri"/>
                <w:color w:val="000000"/>
                <w:szCs w:val="22"/>
                <w:lang w:eastAsia="en-GB" w:bidi="ar-SA"/>
              </w:rPr>
            </w:pPr>
            <w:r>
              <w:rPr>
                <w:rFonts w:ascii="Calibri" w:hAnsi="Calibri"/>
                <w:color w:val="000000"/>
                <w:szCs w:val="22"/>
                <w:lang w:eastAsia="en-GB" w:bidi="ar-SA"/>
              </w:rPr>
              <w:t>802</w:t>
            </w:r>
          </w:p>
        </w:tc>
        <w:tc>
          <w:tcPr>
            <w:tcW w:w="810" w:type="dxa"/>
            <w:tcBorders>
              <w:top w:val="nil"/>
              <w:left w:val="single" w:sz="4" w:space="0" w:color="auto"/>
              <w:bottom w:val="single" w:sz="8" w:space="0" w:color="auto"/>
              <w:right w:val="single" w:sz="8" w:space="0" w:color="auto"/>
            </w:tcBorders>
            <w:shd w:val="clear" w:color="auto" w:fill="auto"/>
            <w:noWrap/>
            <w:vAlign w:val="center"/>
          </w:tcPr>
          <w:p w14:paraId="6E0D8314"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&lt;1%</w:t>
            </w:r>
          </w:p>
        </w:tc>
        <w:tc>
          <w:tcPr>
            <w:tcW w:w="1293" w:type="dxa"/>
            <w:tcBorders>
              <w:top w:val="nil"/>
              <w:left w:val="nil"/>
              <w:bottom w:val="single" w:sz="8" w:space="0" w:color="auto"/>
              <w:right w:val="single" w:sz="8" w:space="0" w:color="auto"/>
            </w:tcBorders>
            <w:shd w:val="clear" w:color="auto" w:fill="auto"/>
            <w:vAlign w:val="center"/>
          </w:tcPr>
          <w:p w14:paraId="6E0D8315" w14:textId="77777777" w:rsidR="00720453" w:rsidRDefault="00720453" w:rsidP="006A15AE">
            <w:pPr>
              <w:widowControl/>
              <w:jc w:val="center"/>
              <w:rPr>
                <w:rFonts w:ascii="Calibri" w:hAnsi="Calibri"/>
                <w:color w:val="000000"/>
                <w:szCs w:val="22"/>
                <w:lang w:eastAsia="en-GB" w:bidi="ar-SA"/>
              </w:rPr>
            </w:pPr>
            <w:r>
              <w:rPr>
                <w:rFonts w:ascii="Calibri" w:hAnsi="Calibri"/>
                <w:color w:val="000000"/>
                <w:szCs w:val="22"/>
                <w:lang w:eastAsia="en-GB" w:bidi="ar-SA"/>
              </w:rPr>
              <w:t>3</w:t>
            </w:r>
          </w:p>
        </w:tc>
        <w:tc>
          <w:tcPr>
            <w:tcW w:w="1681" w:type="dxa"/>
            <w:tcBorders>
              <w:top w:val="nil"/>
              <w:left w:val="nil"/>
              <w:bottom w:val="single" w:sz="8" w:space="0" w:color="auto"/>
              <w:right w:val="single" w:sz="8" w:space="0" w:color="auto"/>
            </w:tcBorders>
            <w:shd w:val="clear" w:color="auto" w:fill="auto"/>
            <w:noWrap/>
            <w:vAlign w:val="center"/>
          </w:tcPr>
          <w:p w14:paraId="6E0D8316" w14:textId="77777777" w:rsidR="00720453" w:rsidRPr="006A15AE" w:rsidRDefault="00720453" w:rsidP="006A15AE">
            <w:pPr>
              <w:widowControl/>
              <w:jc w:val="center"/>
              <w:rPr>
                <w:rFonts w:ascii="Calibri" w:hAnsi="Calibri"/>
                <w:color w:val="000000"/>
                <w:szCs w:val="22"/>
                <w:lang w:eastAsia="en-GB" w:bidi="ar-SA"/>
              </w:rPr>
            </w:pPr>
            <w:r>
              <w:rPr>
                <w:rFonts w:ascii="Calibri" w:hAnsi="Calibri"/>
                <w:color w:val="000000"/>
                <w:szCs w:val="22"/>
                <w:lang w:eastAsia="en-GB" w:bidi="ar-SA"/>
              </w:rPr>
              <w:t>2.5</w:t>
            </w:r>
          </w:p>
        </w:tc>
        <w:tc>
          <w:tcPr>
            <w:tcW w:w="1701" w:type="dxa"/>
            <w:tcBorders>
              <w:top w:val="nil"/>
              <w:left w:val="nil"/>
              <w:bottom w:val="single" w:sz="8" w:space="0" w:color="auto"/>
              <w:right w:val="single" w:sz="8" w:space="0" w:color="auto"/>
            </w:tcBorders>
            <w:shd w:val="clear" w:color="auto" w:fill="auto"/>
            <w:noWrap/>
            <w:vAlign w:val="center"/>
          </w:tcPr>
          <w:p w14:paraId="6E0D8317" w14:textId="77777777" w:rsidR="00720453" w:rsidRDefault="00720453" w:rsidP="006A15AE">
            <w:pPr>
              <w:widowControl/>
              <w:jc w:val="center"/>
              <w:rPr>
                <w:rFonts w:ascii="Calibri" w:hAnsi="Calibri"/>
                <w:color w:val="000000"/>
                <w:szCs w:val="22"/>
                <w:lang w:eastAsia="en-GB" w:bidi="ar-SA"/>
              </w:rPr>
            </w:pPr>
            <w:r>
              <w:rPr>
                <w:rFonts w:ascii="Calibri" w:hAnsi="Calibri"/>
                <w:color w:val="000000"/>
                <w:szCs w:val="22"/>
                <w:lang w:eastAsia="en-GB" w:bidi="ar-SA"/>
              </w:rPr>
              <w:t>NA</w:t>
            </w:r>
          </w:p>
        </w:tc>
      </w:tr>
      <w:tr w:rsidR="00720453" w:rsidRPr="006A15AE" w14:paraId="6E0D8320" w14:textId="77777777" w:rsidTr="00613A06">
        <w:trPr>
          <w:trHeight w:val="315"/>
        </w:trPr>
        <w:tc>
          <w:tcPr>
            <w:tcW w:w="1760" w:type="dxa"/>
            <w:vMerge/>
            <w:tcBorders>
              <w:top w:val="nil"/>
              <w:left w:val="single" w:sz="8" w:space="0" w:color="auto"/>
              <w:bottom w:val="single" w:sz="8" w:space="0" w:color="000000"/>
              <w:right w:val="single" w:sz="8" w:space="0" w:color="auto"/>
            </w:tcBorders>
            <w:vAlign w:val="center"/>
            <w:hideMark/>
          </w:tcPr>
          <w:p w14:paraId="6E0D8319" w14:textId="77777777" w:rsidR="00720453" w:rsidRPr="006A15AE" w:rsidRDefault="00720453" w:rsidP="009B5E36">
            <w:pPr>
              <w:widowControl/>
              <w:rPr>
                <w:rFonts w:ascii="Calibri" w:hAnsi="Calibri"/>
                <w:color w:val="000000"/>
                <w:szCs w:val="22"/>
                <w:lang w:eastAsia="en-GB" w:bidi="ar-SA"/>
              </w:rPr>
            </w:pPr>
          </w:p>
        </w:tc>
        <w:tc>
          <w:tcPr>
            <w:tcW w:w="960" w:type="dxa"/>
            <w:vMerge/>
            <w:tcBorders>
              <w:top w:val="nil"/>
              <w:left w:val="single" w:sz="8" w:space="0" w:color="auto"/>
              <w:bottom w:val="single" w:sz="8" w:space="0" w:color="000000"/>
              <w:right w:val="single" w:sz="8" w:space="0" w:color="auto"/>
            </w:tcBorders>
            <w:vAlign w:val="center"/>
            <w:hideMark/>
          </w:tcPr>
          <w:p w14:paraId="6E0D831A" w14:textId="77777777" w:rsidR="00720453" w:rsidRPr="006A15AE" w:rsidRDefault="00720453" w:rsidP="006A15AE">
            <w:pPr>
              <w:widowControl/>
              <w:rPr>
                <w:rFonts w:ascii="Calibri" w:hAnsi="Calibri"/>
                <w:color w:val="000000"/>
                <w:szCs w:val="22"/>
                <w:lang w:eastAsia="en-GB" w:bidi="ar-SA"/>
              </w:rPr>
            </w:pPr>
          </w:p>
        </w:tc>
        <w:tc>
          <w:tcPr>
            <w:tcW w:w="2300" w:type="dxa"/>
            <w:tcBorders>
              <w:top w:val="nil"/>
              <w:left w:val="nil"/>
              <w:bottom w:val="single" w:sz="8" w:space="0" w:color="auto"/>
              <w:right w:val="single" w:sz="4" w:space="0" w:color="auto"/>
            </w:tcBorders>
            <w:shd w:val="clear" w:color="auto" w:fill="auto"/>
            <w:noWrap/>
            <w:vAlign w:val="center"/>
            <w:hideMark/>
          </w:tcPr>
          <w:p w14:paraId="6E0D831B" w14:textId="77777777" w:rsidR="00720453" w:rsidRPr="006A15AE" w:rsidRDefault="00720453" w:rsidP="006A15AE">
            <w:pPr>
              <w:widowControl/>
              <w:rPr>
                <w:rFonts w:ascii="Calibri" w:hAnsi="Calibri"/>
                <w:color w:val="000000"/>
                <w:szCs w:val="22"/>
                <w:lang w:eastAsia="en-GB" w:bidi="ar-SA"/>
              </w:rPr>
            </w:pPr>
            <w:r w:rsidRPr="006A15AE">
              <w:rPr>
                <w:rFonts w:ascii="Calibri" w:hAnsi="Calibri"/>
                <w:color w:val="000000"/>
                <w:szCs w:val="22"/>
                <w:lang w:eastAsia="en-GB" w:bidi="ar-SA"/>
              </w:rPr>
              <w:t>2-6 years</w:t>
            </w:r>
          </w:p>
        </w:tc>
        <w:tc>
          <w:tcPr>
            <w:tcW w:w="2103" w:type="dxa"/>
            <w:tcBorders>
              <w:top w:val="single" w:sz="4" w:space="0" w:color="auto"/>
              <w:left w:val="single" w:sz="4" w:space="0" w:color="auto"/>
              <w:bottom w:val="single" w:sz="4" w:space="0" w:color="auto"/>
              <w:right w:val="single" w:sz="4" w:space="0" w:color="auto"/>
            </w:tcBorders>
          </w:tcPr>
          <w:p w14:paraId="6E0D831C" w14:textId="77777777" w:rsidR="00720453" w:rsidRPr="006A15AE" w:rsidRDefault="00720453" w:rsidP="00720453">
            <w:pPr>
              <w:widowControl/>
              <w:jc w:val="center"/>
              <w:rPr>
                <w:rFonts w:ascii="Calibri" w:hAnsi="Calibri"/>
                <w:color w:val="000000"/>
                <w:szCs w:val="22"/>
                <w:lang w:eastAsia="en-GB" w:bidi="ar-SA"/>
              </w:rPr>
            </w:pPr>
            <w:r>
              <w:rPr>
                <w:rFonts w:ascii="Calibri" w:hAnsi="Calibri"/>
                <w:color w:val="000000"/>
                <w:szCs w:val="22"/>
                <w:lang w:eastAsia="en-GB" w:bidi="ar-SA"/>
              </w:rPr>
              <w:t>779</w:t>
            </w:r>
          </w:p>
        </w:tc>
        <w:tc>
          <w:tcPr>
            <w:tcW w:w="2103"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6E0D831D"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Not consumed</w:t>
            </w:r>
          </w:p>
        </w:tc>
        <w:tc>
          <w:tcPr>
            <w:tcW w:w="1681" w:type="dxa"/>
            <w:tcBorders>
              <w:top w:val="nil"/>
              <w:left w:val="nil"/>
              <w:bottom w:val="single" w:sz="8" w:space="0" w:color="auto"/>
              <w:right w:val="single" w:sz="8" w:space="0" w:color="auto"/>
            </w:tcBorders>
            <w:shd w:val="clear" w:color="auto" w:fill="auto"/>
            <w:noWrap/>
            <w:vAlign w:val="center"/>
            <w:hideMark/>
          </w:tcPr>
          <w:p w14:paraId="6E0D831E"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NA</w:t>
            </w:r>
          </w:p>
        </w:tc>
        <w:tc>
          <w:tcPr>
            <w:tcW w:w="1701" w:type="dxa"/>
            <w:tcBorders>
              <w:top w:val="nil"/>
              <w:left w:val="nil"/>
              <w:bottom w:val="single" w:sz="8" w:space="0" w:color="auto"/>
              <w:right w:val="single" w:sz="8" w:space="0" w:color="auto"/>
            </w:tcBorders>
            <w:shd w:val="clear" w:color="auto" w:fill="auto"/>
            <w:noWrap/>
            <w:vAlign w:val="center"/>
            <w:hideMark/>
          </w:tcPr>
          <w:p w14:paraId="6E0D831F"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NA</w:t>
            </w:r>
          </w:p>
        </w:tc>
      </w:tr>
      <w:tr w:rsidR="00720453" w:rsidRPr="006A15AE" w14:paraId="6E0D8329" w14:textId="77777777" w:rsidTr="00613A06">
        <w:trPr>
          <w:trHeight w:val="315"/>
        </w:trPr>
        <w:tc>
          <w:tcPr>
            <w:tcW w:w="1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0D8321" w14:textId="77777777" w:rsidR="00720453" w:rsidRPr="006A15AE" w:rsidRDefault="00720453" w:rsidP="009B5E36">
            <w:pPr>
              <w:widowControl/>
              <w:rPr>
                <w:rFonts w:ascii="Calibri" w:hAnsi="Calibri"/>
                <w:color w:val="000000"/>
                <w:szCs w:val="22"/>
                <w:lang w:eastAsia="en-GB" w:bidi="ar-SA"/>
              </w:rPr>
            </w:pPr>
            <w:r w:rsidRPr="006A15AE">
              <w:rPr>
                <w:rFonts w:ascii="Calibri" w:hAnsi="Calibri"/>
                <w:color w:val="000000"/>
                <w:szCs w:val="22"/>
                <w:lang w:eastAsia="en-GB" w:bidi="ar-SA"/>
              </w:rPr>
              <w:t>New Zealand</w:t>
            </w:r>
          </w:p>
        </w:tc>
        <w:tc>
          <w:tcPr>
            <w:tcW w:w="960" w:type="dxa"/>
            <w:tcBorders>
              <w:top w:val="nil"/>
              <w:left w:val="nil"/>
              <w:bottom w:val="single" w:sz="8" w:space="0" w:color="auto"/>
              <w:right w:val="single" w:sz="8" w:space="0" w:color="auto"/>
            </w:tcBorders>
            <w:shd w:val="clear" w:color="auto" w:fill="auto"/>
            <w:noWrap/>
            <w:vAlign w:val="center"/>
            <w:hideMark/>
          </w:tcPr>
          <w:p w14:paraId="6E0D8322" w14:textId="77777777" w:rsidR="00720453" w:rsidRPr="006A15AE" w:rsidRDefault="00720453" w:rsidP="006A15AE">
            <w:pPr>
              <w:widowControl/>
              <w:rPr>
                <w:rFonts w:ascii="Calibri" w:hAnsi="Calibri"/>
                <w:color w:val="000000"/>
                <w:szCs w:val="22"/>
                <w:lang w:eastAsia="en-GB" w:bidi="ar-SA"/>
              </w:rPr>
            </w:pPr>
            <w:r w:rsidRPr="006A15AE">
              <w:rPr>
                <w:rFonts w:ascii="Calibri" w:hAnsi="Calibri"/>
                <w:color w:val="000000"/>
                <w:szCs w:val="22"/>
                <w:lang w:eastAsia="en-GB" w:bidi="ar-SA"/>
              </w:rPr>
              <w:t>2008</w:t>
            </w:r>
          </w:p>
        </w:tc>
        <w:tc>
          <w:tcPr>
            <w:tcW w:w="2300" w:type="dxa"/>
            <w:tcBorders>
              <w:top w:val="nil"/>
              <w:left w:val="nil"/>
              <w:bottom w:val="single" w:sz="8" w:space="0" w:color="auto"/>
              <w:right w:val="single" w:sz="4" w:space="0" w:color="auto"/>
            </w:tcBorders>
            <w:shd w:val="clear" w:color="auto" w:fill="auto"/>
            <w:noWrap/>
            <w:vAlign w:val="center"/>
            <w:hideMark/>
          </w:tcPr>
          <w:p w14:paraId="6E0D8323" w14:textId="77777777" w:rsidR="00720453" w:rsidRPr="006A15AE" w:rsidRDefault="00720453" w:rsidP="006A15AE">
            <w:pPr>
              <w:widowControl/>
              <w:rPr>
                <w:rFonts w:ascii="Calibri" w:hAnsi="Calibri"/>
                <w:color w:val="000000"/>
                <w:szCs w:val="22"/>
                <w:lang w:eastAsia="en-GB" w:bidi="ar-SA"/>
              </w:rPr>
            </w:pPr>
            <w:r w:rsidRPr="006A15AE">
              <w:rPr>
                <w:rFonts w:ascii="Calibri" w:hAnsi="Calibri"/>
                <w:color w:val="000000"/>
                <w:szCs w:val="22"/>
                <w:lang w:eastAsia="en-GB" w:bidi="ar-SA"/>
              </w:rPr>
              <w:t>15 years and above</w:t>
            </w:r>
          </w:p>
        </w:tc>
        <w:tc>
          <w:tcPr>
            <w:tcW w:w="2103" w:type="dxa"/>
            <w:tcBorders>
              <w:top w:val="single" w:sz="4" w:space="0" w:color="auto"/>
              <w:left w:val="single" w:sz="4" w:space="0" w:color="auto"/>
              <w:bottom w:val="single" w:sz="4" w:space="0" w:color="auto"/>
              <w:right w:val="single" w:sz="4" w:space="0" w:color="auto"/>
            </w:tcBorders>
          </w:tcPr>
          <w:p w14:paraId="6E0D8324" w14:textId="77777777" w:rsidR="00720453" w:rsidRPr="006A15AE" w:rsidRDefault="00720453" w:rsidP="006A15AE">
            <w:pPr>
              <w:widowControl/>
              <w:jc w:val="center"/>
              <w:rPr>
                <w:rFonts w:ascii="Calibri" w:hAnsi="Calibri"/>
                <w:color w:val="000000"/>
                <w:szCs w:val="22"/>
                <w:lang w:eastAsia="en-GB" w:bidi="ar-SA"/>
              </w:rPr>
            </w:pPr>
            <w:r>
              <w:rPr>
                <w:rFonts w:ascii="Calibri" w:hAnsi="Calibri"/>
                <w:color w:val="000000"/>
                <w:szCs w:val="22"/>
                <w:lang w:eastAsia="en-GB" w:bidi="ar-SA"/>
              </w:rPr>
              <w:t>4721</w:t>
            </w:r>
          </w:p>
        </w:tc>
        <w:tc>
          <w:tcPr>
            <w:tcW w:w="810" w:type="dxa"/>
            <w:tcBorders>
              <w:top w:val="nil"/>
              <w:left w:val="single" w:sz="4" w:space="0" w:color="auto"/>
              <w:bottom w:val="single" w:sz="8" w:space="0" w:color="auto"/>
              <w:right w:val="single" w:sz="8" w:space="0" w:color="auto"/>
            </w:tcBorders>
            <w:shd w:val="clear" w:color="auto" w:fill="auto"/>
            <w:noWrap/>
            <w:vAlign w:val="center"/>
            <w:hideMark/>
          </w:tcPr>
          <w:p w14:paraId="6E0D8325"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&lt;1%</w:t>
            </w:r>
          </w:p>
        </w:tc>
        <w:tc>
          <w:tcPr>
            <w:tcW w:w="1293" w:type="dxa"/>
            <w:tcBorders>
              <w:top w:val="nil"/>
              <w:left w:val="nil"/>
              <w:bottom w:val="single" w:sz="8" w:space="0" w:color="auto"/>
              <w:right w:val="single" w:sz="8" w:space="0" w:color="auto"/>
            </w:tcBorders>
            <w:shd w:val="clear" w:color="auto" w:fill="auto"/>
            <w:vAlign w:val="center"/>
            <w:hideMark/>
          </w:tcPr>
          <w:p w14:paraId="6E0D8326"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13</w:t>
            </w:r>
          </w:p>
        </w:tc>
        <w:tc>
          <w:tcPr>
            <w:tcW w:w="1681" w:type="dxa"/>
            <w:tcBorders>
              <w:top w:val="nil"/>
              <w:left w:val="nil"/>
              <w:bottom w:val="single" w:sz="8" w:space="0" w:color="auto"/>
              <w:right w:val="single" w:sz="8" w:space="0" w:color="auto"/>
            </w:tcBorders>
            <w:shd w:val="clear" w:color="auto" w:fill="auto"/>
            <w:noWrap/>
            <w:vAlign w:val="center"/>
            <w:hideMark/>
          </w:tcPr>
          <w:p w14:paraId="6E0D8327"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4.9</w:t>
            </w:r>
          </w:p>
        </w:tc>
        <w:tc>
          <w:tcPr>
            <w:tcW w:w="1701" w:type="dxa"/>
            <w:tcBorders>
              <w:top w:val="nil"/>
              <w:left w:val="nil"/>
              <w:bottom w:val="single" w:sz="8" w:space="0" w:color="auto"/>
              <w:right w:val="single" w:sz="8" w:space="0" w:color="auto"/>
            </w:tcBorders>
            <w:shd w:val="clear" w:color="auto" w:fill="auto"/>
            <w:noWrap/>
            <w:vAlign w:val="center"/>
            <w:hideMark/>
          </w:tcPr>
          <w:p w14:paraId="6E0D8328"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5.8</w:t>
            </w:r>
          </w:p>
        </w:tc>
      </w:tr>
      <w:tr w:rsidR="00720453" w:rsidRPr="006A15AE" w14:paraId="6E0D8332" w14:textId="77777777" w:rsidTr="00613A06">
        <w:trPr>
          <w:trHeight w:val="315"/>
        </w:trPr>
        <w:tc>
          <w:tcPr>
            <w:tcW w:w="1760" w:type="dxa"/>
            <w:vMerge/>
            <w:tcBorders>
              <w:top w:val="nil"/>
              <w:left w:val="single" w:sz="8" w:space="0" w:color="auto"/>
              <w:bottom w:val="single" w:sz="8" w:space="0" w:color="000000"/>
              <w:right w:val="single" w:sz="8" w:space="0" w:color="auto"/>
            </w:tcBorders>
            <w:vAlign w:val="center"/>
            <w:hideMark/>
          </w:tcPr>
          <w:p w14:paraId="6E0D832A" w14:textId="77777777" w:rsidR="00720453" w:rsidRPr="006A15AE" w:rsidRDefault="00720453" w:rsidP="006A15AE">
            <w:pPr>
              <w:widowControl/>
              <w:rPr>
                <w:rFonts w:ascii="Calibri" w:hAnsi="Calibri"/>
                <w:color w:val="000000"/>
                <w:szCs w:val="22"/>
                <w:lang w:eastAsia="en-GB" w:bidi="ar-SA"/>
              </w:rPr>
            </w:pPr>
          </w:p>
        </w:tc>
        <w:tc>
          <w:tcPr>
            <w:tcW w:w="960" w:type="dxa"/>
            <w:tcBorders>
              <w:top w:val="nil"/>
              <w:left w:val="nil"/>
              <w:bottom w:val="single" w:sz="8" w:space="0" w:color="auto"/>
              <w:right w:val="single" w:sz="8" w:space="0" w:color="auto"/>
            </w:tcBorders>
            <w:shd w:val="clear" w:color="auto" w:fill="auto"/>
            <w:noWrap/>
            <w:vAlign w:val="center"/>
            <w:hideMark/>
          </w:tcPr>
          <w:p w14:paraId="6E0D832B" w14:textId="77777777" w:rsidR="00720453" w:rsidRPr="006A15AE" w:rsidRDefault="00720453" w:rsidP="006A15AE">
            <w:pPr>
              <w:widowControl/>
              <w:rPr>
                <w:rFonts w:ascii="Calibri" w:hAnsi="Calibri"/>
                <w:color w:val="000000"/>
                <w:szCs w:val="22"/>
                <w:lang w:eastAsia="en-GB" w:bidi="ar-SA"/>
              </w:rPr>
            </w:pPr>
            <w:r w:rsidRPr="006A15AE">
              <w:rPr>
                <w:rFonts w:ascii="Calibri" w:hAnsi="Calibri"/>
                <w:color w:val="000000"/>
                <w:szCs w:val="22"/>
                <w:lang w:eastAsia="en-GB" w:bidi="ar-SA"/>
              </w:rPr>
              <w:t>2002</w:t>
            </w:r>
          </w:p>
        </w:tc>
        <w:tc>
          <w:tcPr>
            <w:tcW w:w="2300" w:type="dxa"/>
            <w:tcBorders>
              <w:top w:val="nil"/>
              <w:left w:val="nil"/>
              <w:bottom w:val="single" w:sz="8" w:space="0" w:color="auto"/>
              <w:right w:val="single" w:sz="4" w:space="0" w:color="auto"/>
            </w:tcBorders>
            <w:shd w:val="clear" w:color="auto" w:fill="auto"/>
            <w:noWrap/>
            <w:vAlign w:val="center"/>
            <w:hideMark/>
          </w:tcPr>
          <w:p w14:paraId="6E0D832C" w14:textId="77777777" w:rsidR="00720453" w:rsidRPr="006A15AE" w:rsidRDefault="00720453" w:rsidP="006A15AE">
            <w:pPr>
              <w:widowControl/>
              <w:rPr>
                <w:rFonts w:ascii="Calibri" w:hAnsi="Calibri"/>
                <w:color w:val="000000"/>
                <w:szCs w:val="22"/>
                <w:lang w:eastAsia="en-GB" w:bidi="ar-SA"/>
              </w:rPr>
            </w:pPr>
            <w:r w:rsidRPr="006A15AE">
              <w:rPr>
                <w:rFonts w:ascii="Calibri" w:hAnsi="Calibri"/>
                <w:color w:val="000000"/>
                <w:szCs w:val="22"/>
                <w:lang w:eastAsia="en-GB" w:bidi="ar-SA"/>
              </w:rPr>
              <w:t>5-14 years</w:t>
            </w:r>
          </w:p>
        </w:tc>
        <w:tc>
          <w:tcPr>
            <w:tcW w:w="2103" w:type="dxa"/>
            <w:tcBorders>
              <w:top w:val="single" w:sz="4" w:space="0" w:color="auto"/>
              <w:left w:val="single" w:sz="4" w:space="0" w:color="auto"/>
              <w:bottom w:val="single" w:sz="4" w:space="0" w:color="auto"/>
              <w:right w:val="single" w:sz="4" w:space="0" w:color="auto"/>
            </w:tcBorders>
          </w:tcPr>
          <w:p w14:paraId="6E0D832D" w14:textId="77777777" w:rsidR="00720453" w:rsidRPr="006A15AE" w:rsidRDefault="00925A7B" w:rsidP="006A15AE">
            <w:pPr>
              <w:widowControl/>
              <w:jc w:val="center"/>
              <w:rPr>
                <w:rFonts w:ascii="Calibri" w:hAnsi="Calibri"/>
                <w:color w:val="000000"/>
                <w:szCs w:val="22"/>
                <w:lang w:eastAsia="en-GB" w:bidi="ar-SA"/>
              </w:rPr>
            </w:pPr>
            <w:r>
              <w:rPr>
                <w:rFonts w:ascii="Calibri" w:hAnsi="Calibri"/>
                <w:color w:val="000000"/>
                <w:szCs w:val="22"/>
                <w:lang w:eastAsia="en-GB" w:bidi="ar-SA"/>
              </w:rPr>
              <w:t>3275</w:t>
            </w:r>
          </w:p>
        </w:tc>
        <w:tc>
          <w:tcPr>
            <w:tcW w:w="810" w:type="dxa"/>
            <w:tcBorders>
              <w:top w:val="nil"/>
              <w:left w:val="single" w:sz="4" w:space="0" w:color="auto"/>
              <w:bottom w:val="single" w:sz="8" w:space="0" w:color="auto"/>
              <w:right w:val="single" w:sz="8" w:space="0" w:color="auto"/>
            </w:tcBorders>
            <w:shd w:val="clear" w:color="auto" w:fill="auto"/>
            <w:noWrap/>
            <w:vAlign w:val="center"/>
            <w:hideMark/>
          </w:tcPr>
          <w:p w14:paraId="6E0D832E"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1%</w:t>
            </w:r>
          </w:p>
        </w:tc>
        <w:tc>
          <w:tcPr>
            <w:tcW w:w="1293" w:type="dxa"/>
            <w:tcBorders>
              <w:top w:val="nil"/>
              <w:left w:val="nil"/>
              <w:bottom w:val="single" w:sz="8" w:space="0" w:color="auto"/>
              <w:right w:val="single" w:sz="8" w:space="0" w:color="auto"/>
            </w:tcBorders>
            <w:shd w:val="clear" w:color="auto" w:fill="auto"/>
            <w:vAlign w:val="center"/>
            <w:hideMark/>
          </w:tcPr>
          <w:p w14:paraId="6E0D832F"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37</w:t>
            </w:r>
          </w:p>
        </w:tc>
        <w:tc>
          <w:tcPr>
            <w:tcW w:w="1681" w:type="dxa"/>
            <w:tcBorders>
              <w:top w:val="nil"/>
              <w:left w:val="nil"/>
              <w:bottom w:val="single" w:sz="8" w:space="0" w:color="auto"/>
              <w:right w:val="single" w:sz="8" w:space="0" w:color="auto"/>
            </w:tcBorders>
            <w:shd w:val="clear" w:color="auto" w:fill="auto"/>
            <w:noWrap/>
            <w:vAlign w:val="center"/>
            <w:hideMark/>
          </w:tcPr>
          <w:p w14:paraId="6E0D8330"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4.6</w:t>
            </w:r>
          </w:p>
        </w:tc>
        <w:tc>
          <w:tcPr>
            <w:tcW w:w="1701" w:type="dxa"/>
            <w:tcBorders>
              <w:top w:val="nil"/>
              <w:left w:val="nil"/>
              <w:bottom w:val="single" w:sz="8" w:space="0" w:color="auto"/>
              <w:right w:val="single" w:sz="8" w:space="0" w:color="auto"/>
            </w:tcBorders>
            <w:shd w:val="clear" w:color="auto" w:fill="auto"/>
            <w:noWrap/>
            <w:vAlign w:val="center"/>
            <w:hideMark/>
          </w:tcPr>
          <w:p w14:paraId="6E0D8331" w14:textId="77777777" w:rsidR="00720453" w:rsidRPr="006A15AE" w:rsidRDefault="00720453"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16</w:t>
            </w:r>
          </w:p>
        </w:tc>
      </w:tr>
    </w:tbl>
    <w:p w14:paraId="6E0D8333" w14:textId="77777777" w:rsidR="005034D7" w:rsidRDefault="005034D7" w:rsidP="00DB4235"/>
    <w:p w14:paraId="6E0D8334" w14:textId="77777777" w:rsidR="005034D7" w:rsidRDefault="005034D7">
      <w:pPr>
        <w:widowControl/>
      </w:pPr>
      <w:r>
        <w:br w:type="page"/>
      </w:r>
    </w:p>
    <w:p w14:paraId="6E0D8335" w14:textId="77777777" w:rsidR="00E275F2" w:rsidRDefault="00AA3CE3" w:rsidP="00AA3CE3">
      <w:pPr>
        <w:pStyle w:val="FSTableTitle"/>
        <w:keepNext/>
      </w:pPr>
      <w:bookmarkStart w:id="91" w:name="_Ref421276360"/>
      <w:r>
        <w:lastRenderedPageBreak/>
        <w:t>Table A2.</w:t>
      </w:r>
      <w:bookmarkEnd w:id="91"/>
      <w:r w:rsidR="00394444">
        <w:t>3</w:t>
      </w:r>
      <w:r w:rsidR="00E275F2" w:rsidRPr="00BA5AFF">
        <w:t xml:space="preserve">: </w:t>
      </w:r>
      <w:r w:rsidR="00E275F2">
        <w:t>Est</w:t>
      </w:r>
      <w:r w:rsidR="00FA309B">
        <w:t xml:space="preserve">imated dietary exposures of Ace </w:t>
      </w:r>
      <w:r w:rsidR="00E275F2">
        <w:t xml:space="preserve">K </w:t>
      </w:r>
      <w:r>
        <w:t>from consumption</w:t>
      </w:r>
      <w:r w:rsidR="00E275F2">
        <w:t xml:space="preserve"> of </w:t>
      </w:r>
      <w:r w:rsidR="00E275F2" w:rsidRPr="009B7D8E">
        <w:t>intense sweetened</w:t>
      </w:r>
      <w:r>
        <w:t xml:space="preserve"> Chewing gum</w:t>
      </w:r>
      <w:r w:rsidR="00394444">
        <w:t xml:space="preserve"> (consumers only)</w:t>
      </w:r>
    </w:p>
    <w:p w14:paraId="6E0D8336" w14:textId="77777777" w:rsidR="002A1327" w:rsidRPr="002A1327" w:rsidRDefault="002A1327" w:rsidP="00D90F8F"/>
    <w:tbl>
      <w:tblPr>
        <w:tblW w:w="13481" w:type="dxa"/>
        <w:tblInd w:w="93" w:type="dxa"/>
        <w:tblLook w:val="04A0" w:firstRow="1" w:lastRow="0" w:firstColumn="1" w:lastColumn="0" w:noHBand="0" w:noVBand="1"/>
      </w:tblPr>
      <w:tblGrid>
        <w:gridCol w:w="1760"/>
        <w:gridCol w:w="959"/>
        <w:gridCol w:w="2300"/>
        <w:gridCol w:w="2084"/>
        <w:gridCol w:w="1559"/>
        <w:gridCol w:w="1701"/>
        <w:gridCol w:w="1559"/>
        <w:gridCol w:w="1559"/>
      </w:tblGrid>
      <w:tr w:rsidR="006A15AE" w:rsidRPr="006A15AE" w14:paraId="6E0D833D" w14:textId="77777777" w:rsidTr="00F00FBC">
        <w:trPr>
          <w:trHeight w:val="833"/>
        </w:trPr>
        <w:tc>
          <w:tcPr>
            <w:tcW w:w="176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6E0D8337" w14:textId="77777777" w:rsidR="006A15AE" w:rsidRPr="006A15AE" w:rsidRDefault="006A15AE" w:rsidP="00F00FBC">
            <w:pPr>
              <w:rPr>
                <w:rFonts w:cs="Arial"/>
                <w:b/>
                <w:bCs/>
                <w:color w:val="000000"/>
                <w:szCs w:val="22"/>
                <w:lang w:eastAsia="en-GB" w:bidi="ar-SA"/>
              </w:rPr>
            </w:pPr>
            <w:r w:rsidRPr="006A15AE">
              <w:rPr>
                <w:rFonts w:cs="Arial"/>
                <w:b/>
                <w:bCs/>
                <w:color w:val="000000"/>
                <w:szCs w:val="22"/>
                <w:lang w:eastAsia="en-GB" w:bidi="ar-SA"/>
              </w:rPr>
              <w:t>Country</w:t>
            </w:r>
          </w:p>
        </w:tc>
        <w:tc>
          <w:tcPr>
            <w:tcW w:w="95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338" w14:textId="77777777" w:rsidR="006A15AE" w:rsidRPr="006A15AE" w:rsidRDefault="006A15AE" w:rsidP="00F00FBC">
            <w:pPr>
              <w:widowControl/>
              <w:rPr>
                <w:rFonts w:cs="Arial"/>
                <w:b/>
                <w:bCs/>
                <w:color w:val="000000"/>
                <w:szCs w:val="22"/>
                <w:lang w:eastAsia="en-GB" w:bidi="ar-SA"/>
              </w:rPr>
            </w:pPr>
            <w:r w:rsidRPr="006A15AE">
              <w:rPr>
                <w:rFonts w:cs="Arial"/>
                <w:b/>
                <w:bCs/>
                <w:color w:val="000000"/>
                <w:szCs w:val="22"/>
                <w:lang w:eastAsia="en-GB" w:bidi="ar-SA"/>
              </w:rPr>
              <w:t>Survey</w:t>
            </w:r>
          </w:p>
        </w:tc>
        <w:tc>
          <w:tcPr>
            <w:tcW w:w="23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339" w14:textId="77777777" w:rsidR="006A15AE" w:rsidRPr="006A15AE" w:rsidRDefault="006A15AE" w:rsidP="00F00FBC">
            <w:pPr>
              <w:widowControl/>
              <w:rPr>
                <w:rFonts w:cs="Arial"/>
                <w:b/>
                <w:bCs/>
                <w:color w:val="000000"/>
                <w:szCs w:val="22"/>
                <w:lang w:eastAsia="en-GB" w:bidi="ar-SA"/>
              </w:rPr>
            </w:pPr>
            <w:r w:rsidRPr="006A15AE">
              <w:rPr>
                <w:rFonts w:cs="Arial"/>
                <w:b/>
                <w:bCs/>
                <w:color w:val="000000"/>
                <w:szCs w:val="22"/>
                <w:lang w:eastAsia="en-GB" w:bidi="ar-SA"/>
              </w:rPr>
              <w:t>Age group</w:t>
            </w:r>
          </w:p>
        </w:tc>
        <w:tc>
          <w:tcPr>
            <w:tcW w:w="2084" w:type="dxa"/>
            <w:tcBorders>
              <w:top w:val="single" w:sz="8" w:space="0" w:color="auto"/>
              <w:left w:val="nil"/>
              <w:bottom w:val="nil"/>
              <w:right w:val="single" w:sz="8" w:space="0" w:color="000000"/>
            </w:tcBorders>
            <w:shd w:val="clear" w:color="auto" w:fill="auto"/>
            <w:noWrap/>
            <w:hideMark/>
          </w:tcPr>
          <w:p w14:paraId="6E0D833A" w14:textId="77777777" w:rsidR="006A15AE" w:rsidRPr="006A15AE" w:rsidRDefault="006A15AE" w:rsidP="00F00FBC">
            <w:pPr>
              <w:widowControl/>
              <w:rPr>
                <w:rFonts w:cs="Arial"/>
                <w:b/>
                <w:bCs/>
                <w:color w:val="000000"/>
                <w:szCs w:val="22"/>
                <w:lang w:eastAsia="en-GB" w:bidi="ar-SA"/>
              </w:rPr>
            </w:pPr>
            <w:r w:rsidRPr="006A15AE">
              <w:rPr>
                <w:rFonts w:cs="Arial"/>
                <w:b/>
                <w:bCs/>
                <w:color w:val="000000"/>
                <w:szCs w:val="22"/>
                <w:lang w:eastAsia="en-GB" w:bidi="ar-SA"/>
              </w:rPr>
              <w:t>Consumers</w:t>
            </w:r>
          </w:p>
        </w:tc>
        <w:tc>
          <w:tcPr>
            <w:tcW w:w="3260" w:type="dxa"/>
            <w:gridSpan w:val="2"/>
            <w:tcBorders>
              <w:top w:val="single" w:sz="8" w:space="0" w:color="auto"/>
              <w:left w:val="nil"/>
              <w:bottom w:val="single" w:sz="8" w:space="0" w:color="auto"/>
              <w:right w:val="single" w:sz="8" w:space="0" w:color="000000"/>
            </w:tcBorders>
            <w:shd w:val="clear" w:color="auto" w:fill="auto"/>
            <w:hideMark/>
          </w:tcPr>
          <w:p w14:paraId="6E0D833B" w14:textId="77777777" w:rsidR="006A15AE" w:rsidRPr="006A15AE" w:rsidRDefault="006A15AE" w:rsidP="00B60085">
            <w:pPr>
              <w:widowControl/>
              <w:rPr>
                <w:rFonts w:cs="Arial"/>
                <w:b/>
                <w:bCs/>
                <w:i/>
                <w:iCs/>
                <w:color w:val="000000"/>
                <w:szCs w:val="22"/>
                <w:lang w:eastAsia="en-GB" w:bidi="ar-SA"/>
              </w:rPr>
            </w:pPr>
            <w:r w:rsidRPr="006A15AE">
              <w:rPr>
                <w:rFonts w:cs="Arial"/>
                <w:b/>
                <w:bCs/>
                <w:i/>
                <w:iCs/>
                <w:color w:val="000000"/>
                <w:szCs w:val="22"/>
                <w:lang w:eastAsia="en-GB" w:bidi="ar-SA"/>
              </w:rPr>
              <w:t>Baseline</w:t>
            </w:r>
            <w:r w:rsidRPr="006A15AE">
              <w:rPr>
                <w:rFonts w:cs="Arial"/>
                <w:b/>
                <w:bCs/>
                <w:color w:val="000000"/>
                <w:szCs w:val="22"/>
                <w:lang w:eastAsia="en-GB" w:bidi="ar-SA"/>
              </w:rPr>
              <w:t xml:space="preserve"> (current permissions in the standard 1.3.1)</w:t>
            </w:r>
          </w:p>
        </w:tc>
        <w:tc>
          <w:tcPr>
            <w:tcW w:w="3118" w:type="dxa"/>
            <w:gridSpan w:val="2"/>
            <w:tcBorders>
              <w:top w:val="single" w:sz="8" w:space="0" w:color="auto"/>
              <w:left w:val="nil"/>
              <w:bottom w:val="single" w:sz="8" w:space="0" w:color="auto"/>
              <w:right w:val="single" w:sz="8" w:space="0" w:color="000000"/>
            </w:tcBorders>
            <w:shd w:val="clear" w:color="auto" w:fill="auto"/>
            <w:hideMark/>
          </w:tcPr>
          <w:p w14:paraId="6E0D833C" w14:textId="77777777" w:rsidR="006A15AE" w:rsidRPr="006A15AE" w:rsidRDefault="006A15AE" w:rsidP="00DA32F6">
            <w:pPr>
              <w:widowControl/>
              <w:rPr>
                <w:rFonts w:cs="Arial"/>
                <w:b/>
                <w:bCs/>
                <w:i/>
                <w:iCs/>
                <w:color w:val="000000"/>
                <w:szCs w:val="22"/>
                <w:lang w:eastAsia="en-GB" w:bidi="ar-SA"/>
              </w:rPr>
            </w:pPr>
            <w:r w:rsidRPr="006A15AE">
              <w:rPr>
                <w:rFonts w:cs="Arial"/>
                <w:b/>
                <w:bCs/>
                <w:i/>
                <w:iCs/>
                <w:color w:val="000000"/>
                <w:szCs w:val="22"/>
                <w:lang w:eastAsia="en-GB" w:bidi="ar-SA"/>
              </w:rPr>
              <w:t>Scenario</w:t>
            </w:r>
            <w:r w:rsidRPr="006A15AE">
              <w:rPr>
                <w:rFonts w:cs="Arial"/>
                <w:b/>
                <w:bCs/>
                <w:color w:val="000000"/>
                <w:szCs w:val="22"/>
                <w:lang w:eastAsia="en-GB" w:bidi="ar-SA"/>
              </w:rPr>
              <w:t xml:space="preserve"> (baseline + </w:t>
            </w:r>
            <w:r w:rsidR="00DA32F6">
              <w:rPr>
                <w:rFonts w:cs="Arial"/>
                <w:b/>
                <w:bCs/>
                <w:color w:val="000000"/>
                <w:szCs w:val="22"/>
                <w:lang w:eastAsia="en-GB" w:bidi="ar-SA"/>
              </w:rPr>
              <w:t>increas</w:t>
            </w:r>
            <w:r w:rsidR="00DA32F6" w:rsidRPr="006A15AE">
              <w:rPr>
                <w:rFonts w:cs="Arial"/>
                <w:b/>
                <w:bCs/>
                <w:color w:val="000000"/>
                <w:szCs w:val="22"/>
                <w:lang w:eastAsia="en-GB" w:bidi="ar-SA"/>
              </w:rPr>
              <w:t xml:space="preserve">ed </w:t>
            </w:r>
            <w:r w:rsidRPr="006A15AE">
              <w:rPr>
                <w:rFonts w:cs="Arial"/>
                <w:b/>
                <w:bCs/>
                <w:color w:val="000000"/>
                <w:szCs w:val="22"/>
                <w:lang w:eastAsia="en-GB" w:bidi="ar-SA"/>
              </w:rPr>
              <w:t>MPL)</w:t>
            </w:r>
          </w:p>
        </w:tc>
      </w:tr>
      <w:tr w:rsidR="006A15AE" w:rsidRPr="006A15AE" w14:paraId="6E0D8346" w14:textId="77777777" w:rsidTr="009B5E36">
        <w:trPr>
          <w:trHeight w:val="300"/>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33E" w14:textId="77777777" w:rsidR="006A15AE" w:rsidRPr="006A15AE" w:rsidRDefault="006A15AE" w:rsidP="006A15AE">
            <w:pPr>
              <w:widowControl/>
              <w:rPr>
                <w:rFonts w:cs="Arial"/>
                <w:b/>
                <w:bCs/>
                <w:color w:val="000000"/>
                <w:szCs w:val="22"/>
                <w:lang w:eastAsia="en-GB" w:bidi="ar-SA"/>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6E0D833F" w14:textId="77777777" w:rsidR="006A15AE" w:rsidRPr="006A15AE" w:rsidRDefault="006A15AE" w:rsidP="006A15AE">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14:paraId="6E0D8340" w14:textId="77777777" w:rsidR="006A15AE" w:rsidRPr="006A15AE" w:rsidRDefault="006A15AE" w:rsidP="006A15AE">
            <w:pPr>
              <w:widowControl/>
              <w:rPr>
                <w:rFonts w:cs="Arial"/>
                <w:b/>
                <w:bCs/>
                <w:color w:val="000000"/>
                <w:szCs w:val="22"/>
                <w:lang w:eastAsia="en-GB" w:bidi="ar-SA"/>
              </w:rPr>
            </w:pPr>
          </w:p>
        </w:tc>
        <w:tc>
          <w:tcPr>
            <w:tcW w:w="2084" w:type="dxa"/>
            <w:tcBorders>
              <w:top w:val="single" w:sz="8" w:space="0" w:color="auto"/>
              <w:left w:val="nil"/>
              <w:bottom w:val="nil"/>
              <w:right w:val="single" w:sz="8" w:space="0" w:color="auto"/>
            </w:tcBorders>
            <w:shd w:val="clear" w:color="auto" w:fill="auto"/>
            <w:noWrap/>
            <w:vAlign w:val="center"/>
            <w:hideMark/>
          </w:tcPr>
          <w:p w14:paraId="6E0D8341" w14:textId="77777777" w:rsidR="006A15AE" w:rsidRPr="006A15AE" w:rsidRDefault="006A15AE" w:rsidP="006A15AE">
            <w:pPr>
              <w:widowControl/>
              <w:rPr>
                <w:rFonts w:cs="Arial"/>
                <w:b/>
                <w:bCs/>
                <w:color w:val="000000"/>
                <w:szCs w:val="22"/>
                <w:lang w:eastAsia="en-GB" w:bidi="ar-SA"/>
              </w:rPr>
            </w:pPr>
            <w:r w:rsidRPr="006A15AE">
              <w:rPr>
                <w:rFonts w:cs="Arial"/>
                <w:b/>
                <w:bCs/>
                <w:color w:val="000000"/>
                <w:szCs w:val="22"/>
                <w:lang w:eastAsia="en-GB" w:bidi="ar-SA"/>
              </w:rPr>
              <w:t> </w:t>
            </w:r>
          </w:p>
        </w:tc>
        <w:tc>
          <w:tcPr>
            <w:tcW w:w="1559" w:type="dxa"/>
            <w:tcBorders>
              <w:top w:val="nil"/>
              <w:left w:val="nil"/>
              <w:bottom w:val="nil"/>
              <w:right w:val="single" w:sz="8" w:space="0" w:color="auto"/>
            </w:tcBorders>
            <w:shd w:val="clear" w:color="auto" w:fill="auto"/>
            <w:noWrap/>
            <w:hideMark/>
          </w:tcPr>
          <w:p w14:paraId="6E0D8342" w14:textId="77777777" w:rsidR="006A15AE" w:rsidRPr="006A15AE" w:rsidRDefault="006A15AE" w:rsidP="009B5E36">
            <w:pPr>
              <w:widowControl/>
              <w:jc w:val="center"/>
              <w:rPr>
                <w:rFonts w:cs="Arial"/>
                <w:b/>
                <w:bCs/>
                <w:color w:val="000000"/>
                <w:szCs w:val="22"/>
                <w:lang w:eastAsia="en-GB" w:bidi="ar-SA"/>
              </w:rPr>
            </w:pPr>
            <w:r w:rsidRPr="006A15AE">
              <w:rPr>
                <w:rFonts w:cs="Arial"/>
                <w:b/>
                <w:bCs/>
                <w:color w:val="000000"/>
                <w:szCs w:val="22"/>
                <w:lang w:eastAsia="en-GB" w:bidi="ar-SA"/>
              </w:rPr>
              <w:t>Mean</w:t>
            </w:r>
          </w:p>
        </w:tc>
        <w:tc>
          <w:tcPr>
            <w:tcW w:w="1701" w:type="dxa"/>
            <w:tcBorders>
              <w:top w:val="nil"/>
              <w:left w:val="nil"/>
              <w:bottom w:val="nil"/>
              <w:right w:val="single" w:sz="8" w:space="0" w:color="auto"/>
            </w:tcBorders>
            <w:shd w:val="clear" w:color="auto" w:fill="auto"/>
            <w:noWrap/>
            <w:hideMark/>
          </w:tcPr>
          <w:p w14:paraId="6E0D8343" w14:textId="77777777" w:rsidR="006A15AE" w:rsidRPr="006A15AE" w:rsidRDefault="006A15AE" w:rsidP="009B5E36">
            <w:pPr>
              <w:widowControl/>
              <w:jc w:val="center"/>
              <w:rPr>
                <w:rFonts w:cs="Arial"/>
                <w:b/>
                <w:bCs/>
                <w:color w:val="000000"/>
                <w:szCs w:val="22"/>
                <w:lang w:eastAsia="en-GB" w:bidi="ar-SA"/>
              </w:rPr>
            </w:pPr>
            <w:r w:rsidRPr="006A15AE">
              <w:rPr>
                <w:rFonts w:cs="Arial"/>
                <w:b/>
                <w:bCs/>
                <w:color w:val="000000"/>
                <w:szCs w:val="22"/>
                <w:lang w:eastAsia="en-GB" w:bidi="ar-SA"/>
              </w:rPr>
              <w:t>90th</w:t>
            </w:r>
          </w:p>
        </w:tc>
        <w:tc>
          <w:tcPr>
            <w:tcW w:w="1559" w:type="dxa"/>
            <w:tcBorders>
              <w:top w:val="nil"/>
              <w:left w:val="nil"/>
              <w:bottom w:val="nil"/>
              <w:right w:val="single" w:sz="8" w:space="0" w:color="auto"/>
            </w:tcBorders>
            <w:shd w:val="clear" w:color="auto" w:fill="auto"/>
            <w:noWrap/>
            <w:hideMark/>
          </w:tcPr>
          <w:p w14:paraId="6E0D8344" w14:textId="77777777" w:rsidR="006A15AE" w:rsidRPr="006A15AE" w:rsidRDefault="006A15AE" w:rsidP="009B5E36">
            <w:pPr>
              <w:widowControl/>
              <w:jc w:val="center"/>
              <w:rPr>
                <w:rFonts w:cs="Arial"/>
                <w:b/>
                <w:bCs/>
                <w:color w:val="000000"/>
                <w:szCs w:val="22"/>
                <w:lang w:eastAsia="en-GB" w:bidi="ar-SA"/>
              </w:rPr>
            </w:pPr>
            <w:r w:rsidRPr="006A15AE">
              <w:rPr>
                <w:rFonts w:cs="Arial"/>
                <w:b/>
                <w:bCs/>
                <w:color w:val="000000"/>
                <w:szCs w:val="22"/>
                <w:lang w:eastAsia="en-GB" w:bidi="ar-SA"/>
              </w:rPr>
              <w:t>Mean</w:t>
            </w:r>
          </w:p>
        </w:tc>
        <w:tc>
          <w:tcPr>
            <w:tcW w:w="1559" w:type="dxa"/>
            <w:tcBorders>
              <w:top w:val="nil"/>
              <w:left w:val="nil"/>
              <w:bottom w:val="nil"/>
              <w:right w:val="single" w:sz="8" w:space="0" w:color="auto"/>
            </w:tcBorders>
            <w:shd w:val="clear" w:color="auto" w:fill="auto"/>
            <w:noWrap/>
            <w:hideMark/>
          </w:tcPr>
          <w:p w14:paraId="6E0D8345" w14:textId="77777777" w:rsidR="006A15AE" w:rsidRPr="006A15AE" w:rsidRDefault="006A15AE" w:rsidP="009B5E36">
            <w:pPr>
              <w:widowControl/>
              <w:jc w:val="center"/>
              <w:rPr>
                <w:rFonts w:cs="Arial"/>
                <w:b/>
                <w:bCs/>
                <w:color w:val="000000"/>
                <w:szCs w:val="22"/>
                <w:lang w:eastAsia="en-GB" w:bidi="ar-SA"/>
              </w:rPr>
            </w:pPr>
            <w:r w:rsidRPr="006A15AE">
              <w:rPr>
                <w:rFonts w:cs="Arial"/>
                <w:b/>
                <w:bCs/>
                <w:color w:val="000000"/>
                <w:szCs w:val="22"/>
                <w:lang w:eastAsia="en-GB" w:bidi="ar-SA"/>
              </w:rPr>
              <w:t>90th</w:t>
            </w:r>
          </w:p>
        </w:tc>
      </w:tr>
      <w:tr w:rsidR="006A15AE" w:rsidRPr="006A15AE" w14:paraId="6E0D834F" w14:textId="77777777" w:rsidTr="009B5E36">
        <w:trPr>
          <w:trHeight w:val="315"/>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347" w14:textId="77777777" w:rsidR="006A15AE" w:rsidRPr="006A15AE" w:rsidRDefault="006A15AE" w:rsidP="006A15AE">
            <w:pPr>
              <w:widowControl/>
              <w:rPr>
                <w:rFonts w:cs="Arial"/>
                <w:b/>
                <w:bCs/>
                <w:color w:val="000000"/>
                <w:szCs w:val="22"/>
                <w:lang w:eastAsia="en-GB" w:bidi="ar-SA"/>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6E0D8348" w14:textId="77777777" w:rsidR="006A15AE" w:rsidRPr="006A15AE" w:rsidRDefault="006A15AE" w:rsidP="006A15AE">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14:paraId="6E0D8349" w14:textId="77777777" w:rsidR="006A15AE" w:rsidRPr="006A15AE" w:rsidRDefault="006A15AE" w:rsidP="006A15AE">
            <w:pPr>
              <w:widowControl/>
              <w:rPr>
                <w:rFonts w:cs="Arial"/>
                <w:b/>
                <w:bCs/>
                <w:color w:val="000000"/>
                <w:szCs w:val="22"/>
                <w:lang w:eastAsia="en-GB" w:bidi="ar-SA"/>
              </w:rPr>
            </w:pPr>
          </w:p>
        </w:tc>
        <w:tc>
          <w:tcPr>
            <w:tcW w:w="2084" w:type="dxa"/>
            <w:tcBorders>
              <w:top w:val="nil"/>
              <w:left w:val="nil"/>
              <w:bottom w:val="single" w:sz="8" w:space="0" w:color="auto"/>
              <w:right w:val="single" w:sz="8" w:space="0" w:color="auto"/>
            </w:tcBorders>
            <w:shd w:val="clear" w:color="auto" w:fill="auto"/>
            <w:noWrap/>
            <w:hideMark/>
          </w:tcPr>
          <w:p w14:paraId="6E0D834A" w14:textId="77777777" w:rsidR="006A15AE" w:rsidRPr="006A15AE" w:rsidRDefault="006A15AE" w:rsidP="009B5E36">
            <w:pPr>
              <w:widowControl/>
              <w:jc w:val="center"/>
              <w:rPr>
                <w:rFonts w:cs="Arial"/>
                <w:b/>
                <w:bCs/>
                <w:color w:val="000000"/>
                <w:szCs w:val="22"/>
                <w:lang w:eastAsia="en-GB" w:bidi="ar-SA"/>
              </w:rPr>
            </w:pPr>
            <w:r w:rsidRPr="006A15AE">
              <w:rPr>
                <w:rFonts w:cs="Arial"/>
                <w:b/>
                <w:bCs/>
                <w:color w:val="000000"/>
                <w:szCs w:val="22"/>
                <w:lang w:eastAsia="en-GB" w:bidi="ar-SA"/>
              </w:rPr>
              <w:t>%</w:t>
            </w:r>
          </w:p>
        </w:tc>
        <w:tc>
          <w:tcPr>
            <w:tcW w:w="1559" w:type="dxa"/>
            <w:tcBorders>
              <w:top w:val="nil"/>
              <w:left w:val="nil"/>
              <w:bottom w:val="single" w:sz="8" w:space="0" w:color="auto"/>
              <w:right w:val="single" w:sz="8" w:space="0" w:color="auto"/>
            </w:tcBorders>
            <w:shd w:val="clear" w:color="auto" w:fill="auto"/>
            <w:noWrap/>
            <w:hideMark/>
          </w:tcPr>
          <w:p w14:paraId="6E0D834B" w14:textId="77777777" w:rsidR="006A15AE" w:rsidRPr="006A15AE" w:rsidRDefault="006A15AE" w:rsidP="009B5E36">
            <w:pPr>
              <w:widowControl/>
              <w:jc w:val="center"/>
              <w:rPr>
                <w:rFonts w:cs="Arial"/>
                <w:b/>
                <w:bCs/>
                <w:color w:val="000000"/>
                <w:szCs w:val="22"/>
                <w:lang w:eastAsia="en-GB" w:bidi="ar-SA"/>
              </w:rPr>
            </w:pPr>
            <w:r w:rsidRPr="006A15AE">
              <w:rPr>
                <w:rFonts w:cs="Arial"/>
                <w:b/>
                <w:bCs/>
                <w:color w:val="000000"/>
                <w:szCs w:val="22"/>
                <w:lang w:eastAsia="en-GB" w:bidi="ar-SA"/>
              </w:rPr>
              <w:t>%ADI</w:t>
            </w:r>
          </w:p>
        </w:tc>
        <w:tc>
          <w:tcPr>
            <w:tcW w:w="1701" w:type="dxa"/>
            <w:tcBorders>
              <w:top w:val="nil"/>
              <w:left w:val="nil"/>
              <w:bottom w:val="single" w:sz="8" w:space="0" w:color="auto"/>
              <w:right w:val="single" w:sz="8" w:space="0" w:color="auto"/>
            </w:tcBorders>
            <w:shd w:val="clear" w:color="auto" w:fill="auto"/>
            <w:noWrap/>
            <w:hideMark/>
          </w:tcPr>
          <w:p w14:paraId="6E0D834C" w14:textId="77777777" w:rsidR="006A15AE" w:rsidRPr="006A15AE" w:rsidRDefault="006A15AE" w:rsidP="009B5E36">
            <w:pPr>
              <w:widowControl/>
              <w:jc w:val="center"/>
              <w:rPr>
                <w:rFonts w:cs="Arial"/>
                <w:b/>
                <w:bCs/>
                <w:color w:val="000000"/>
                <w:szCs w:val="22"/>
                <w:lang w:eastAsia="en-GB" w:bidi="ar-SA"/>
              </w:rPr>
            </w:pPr>
            <w:r w:rsidRPr="006A15AE">
              <w:rPr>
                <w:rFonts w:cs="Arial"/>
                <w:b/>
                <w:bCs/>
                <w:color w:val="000000"/>
                <w:szCs w:val="22"/>
                <w:lang w:eastAsia="en-GB" w:bidi="ar-SA"/>
              </w:rPr>
              <w:t>%ADI</w:t>
            </w:r>
          </w:p>
        </w:tc>
        <w:tc>
          <w:tcPr>
            <w:tcW w:w="1559" w:type="dxa"/>
            <w:tcBorders>
              <w:top w:val="nil"/>
              <w:left w:val="nil"/>
              <w:bottom w:val="single" w:sz="8" w:space="0" w:color="auto"/>
              <w:right w:val="single" w:sz="8" w:space="0" w:color="auto"/>
            </w:tcBorders>
            <w:shd w:val="clear" w:color="auto" w:fill="auto"/>
            <w:noWrap/>
            <w:hideMark/>
          </w:tcPr>
          <w:p w14:paraId="6E0D834D" w14:textId="77777777" w:rsidR="006A15AE" w:rsidRPr="006A15AE" w:rsidRDefault="006A15AE" w:rsidP="009B5E36">
            <w:pPr>
              <w:widowControl/>
              <w:jc w:val="center"/>
              <w:rPr>
                <w:rFonts w:cs="Arial"/>
                <w:b/>
                <w:bCs/>
                <w:color w:val="000000"/>
                <w:szCs w:val="22"/>
                <w:lang w:eastAsia="en-GB" w:bidi="ar-SA"/>
              </w:rPr>
            </w:pPr>
            <w:r w:rsidRPr="006A15AE">
              <w:rPr>
                <w:rFonts w:cs="Arial"/>
                <w:b/>
                <w:bCs/>
                <w:color w:val="000000"/>
                <w:szCs w:val="22"/>
                <w:lang w:eastAsia="en-GB" w:bidi="ar-SA"/>
              </w:rPr>
              <w:t>%ADI</w:t>
            </w:r>
          </w:p>
        </w:tc>
        <w:tc>
          <w:tcPr>
            <w:tcW w:w="1559" w:type="dxa"/>
            <w:tcBorders>
              <w:top w:val="nil"/>
              <w:left w:val="nil"/>
              <w:bottom w:val="single" w:sz="8" w:space="0" w:color="auto"/>
              <w:right w:val="single" w:sz="8" w:space="0" w:color="auto"/>
            </w:tcBorders>
            <w:shd w:val="clear" w:color="auto" w:fill="auto"/>
            <w:noWrap/>
            <w:hideMark/>
          </w:tcPr>
          <w:p w14:paraId="6E0D834E" w14:textId="77777777" w:rsidR="006A15AE" w:rsidRPr="006A15AE" w:rsidRDefault="006A15AE" w:rsidP="009B5E36">
            <w:pPr>
              <w:widowControl/>
              <w:jc w:val="center"/>
              <w:rPr>
                <w:rFonts w:cs="Arial"/>
                <w:b/>
                <w:bCs/>
                <w:color w:val="000000"/>
                <w:szCs w:val="22"/>
                <w:lang w:eastAsia="en-GB" w:bidi="ar-SA"/>
              </w:rPr>
            </w:pPr>
            <w:r w:rsidRPr="006A15AE">
              <w:rPr>
                <w:rFonts w:cs="Arial"/>
                <w:b/>
                <w:bCs/>
                <w:color w:val="000000"/>
                <w:szCs w:val="22"/>
                <w:lang w:eastAsia="en-GB" w:bidi="ar-SA"/>
              </w:rPr>
              <w:t>%ADI</w:t>
            </w:r>
          </w:p>
        </w:tc>
      </w:tr>
      <w:tr w:rsidR="009B5E36" w:rsidRPr="006A15AE" w14:paraId="6E0D8359" w14:textId="77777777" w:rsidTr="009B5E36">
        <w:trPr>
          <w:trHeight w:val="315"/>
        </w:trPr>
        <w:tc>
          <w:tcPr>
            <w:tcW w:w="1760" w:type="dxa"/>
            <w:vMerge w:val="restart"/>
            <w:tcBorders>
              <w:top w:val="nil"/>
              <w:left w:val="single" w:sz="8" w:space="0" w:color="auto"/>
              <w:right w:val="single" w:sz="8" w:space="0" w:color="auto"/>
            </w:tcBorders>
            <w:shd w:val="clear" w:color="auto" w:fill="auto"/>
            <w:noWrap/>
            <w:vAlign w:val="center"/>
            <w:hideMark/>
          </w:tcPr>
          <w:p w14:paraId="6E0D8350" w14:textId="77777777" w:rsidR="009B5E36" w:rsidRPr="006A15AE" w:rsidRDefault="009B5E36" w:rsidP="009B5E36">
            <w:pPr>
              <w:widowControl/>
              <w:rPr>
                <w:rFonts w:ascii="Calibri" w:hAnsi="Calibri"/>
                <w:color w:val="000000"/>
                <w:szCs w:val="22"/>
                <w:lang w:eastAsia="en-GB" w:bidi="ar-SA"/>
              </w:rPr>
            </w:pPr>
            <w:r w:rsidRPr="006A15AE">
              <w:rPr>
                <w:rFonts w:ascii="Calibri" w:hAnsi="Calibri"/>
                <w:color w:val="000000"/>
                <w:szCs w:val="22"/>
                <w:lang w:eastAsia="en-GB" w:bidi="ar-SA"/>
              </w:rPr>
              <w:t>Australia</w:t>
            </w:r>
          </w:p>
          <w:p w14:paraId="6E0D8351" w14:textId="77777777" w:rsidR="009B5E36" w:rsidRPr="006A15AE" w:rsidRDefault="009B5E36" w:rsidP="009B5E36">
            <w:pPr>
              <w:rPr>
                <w:rFonts w:ascii="Calibri" w:hAnsi="Calibri"/>
                <w:color w:val="000000"/>
                <w:szCs w:val="22"/>
                <w:lang w:eastAsia="en-GB" w:bidi="ar-SA"/>
              </w:rPr>
            </w:pPr>
          </w:p>
        </w:tc>
        <w:tc>
          <w:tcPr>
            <w:tcW w:w="959" w:type="dxa"/>
            <w:vMerge w:val="restart"/>
            <w:tcBorders>
              <w:top w:val="nil"/>
              <w:left w:val="nil"/>
              <w:right w:val="single" w:sz="8" w:space="0" w:color="auto"/>
            </w:tcBorders>
            <w:shd w:val="clear" w:color="auto" w:fill="auto"/>
            <w:noWrap/>
            <w:hideMark/>
          </w:tcPr>
          <w:p w14:paraId="6E0D8352" w14:textId="77777777" w:rsidR="009B5E36" w:rsidRPr="006A15AE" w:rsidRDefault="009B5E36" w:rsidP="009B5E36">
            <w:pPr>
              <w:widowControl/>
              <w:rPr>
                <w:rFonts w:ascii="Calibri" w:hAnsi="Calibri"/>
                <w:color w:val="000000"/>
                <w:szCs w:val="22"/>
                <w:lang w:eastAsia="en-GB" w:bidi="ar-SA"/>
              </w:rPr>
            </w:pPr>
            <w:r w:rsidRPr="006A15AE">
              <w:rPr>
                <w:rFonts w:ascii="Calibri" w:hAnsi="Calibri"/>
                <w:color w:val="000000"/>
                <w:szCs w:val="22"/>
                <w:lang w:eastAsia="en-GB" w:bidi="ar-SA"/>
              </w:rPr>
              <w:t>2011</w:t>
            </w:r>
          </w:p>
        </w:tc>
        <w:tc>
          <w:tcPr>
            <w:tcW w:w="2300" w:type="dxa"/>
            <w:tcBorders>
              <w:top w:val="nil"/>
              <w:left w:val="nil"/>
              <w:bottom w:val="single" w:sz="8" w:space="0" w:color="auto"/>
              <w:right w:val="single" w:sz="8" w:space="0" w:color="auto"/>
            </w:tcBorders>
            <w:shd w:val="clear" w:color="auto" w:fill="auto"/>
            <w:noWrap/>
            <w:vAlign w:val="center"/>
            <w:hideMark/>
          </w:tcPr>
          <w:p w14:paraId="6E0D8353" w14:textId="77777777" w:rsidR="009B5E36" w:rsidRPr="006A15AE" w:rsidRDefault="009B5E36" w:rsidP="006A15AE">
            <w:pPr>
              <w:widowControl/>
              <w:rPr>
                <w:rFonts w:ascii="Calibri" w:hAnsi="Calibri"/>
                <w:color w:val="000000"/>
                <w:szCs w:val="22"/>
                <w:lang w:eastAsia="en-GB" w:bidi="ar-SA"/>
              </w:rPr>
            </w:pPr>
            <w:r w:rsidRPr="006A15AE">
              <w:rPr>
                <w:rFonts w:ascii="Calibri" w:hAnsi="Calibri"/>
                <w:color w:val="000000"/>
                <w:szCs w:val="22"/>
                <w:lang w:eastAsia="en-GB" w:bidi="ar-SA"/>
              </w:rPr>
              <w:t>2 years and above</w:t>
            </w:r>
          </w:p>
        </w:tc>
        <w:tc>
          <w:tcPr>
            <w:tcW w:w="2084" w:type="dxa"/>
            <w:tcBorders>
              <w:top w:val="nil"/>
              <w:left w:val="nil"/>
              <w:bottom w:val="single" w:sz="8" w:space="0" w:color="auto"/>
              <w:right w:val="single" w:sz="8" w:space="0" w:color="auto"/>
            </w:tcBorders>
            <w:shd w:val="clear" w:color="auto" w:fill="auto"/>
            <w:noWrap/>
            <w:vAlign w:val="center"/>
            <w:hideMark/>
          </w:tcPr>
          <w:p w14:paraId="6E0D8354" w14:textId="77777777" w:rsidR="009B5E36" w:rsidRPr="006A15AE" w:rsidRDefault="009B5E36"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&lt;1%</w:t>
            </w:r>
          </w:p>
        </w:tc>
        <w:tc>
          <w:tcPr>
            <w:tcW w:w="1559" w:type="dxa"/>
            <w:tcBorders>
              <w:top w:val="nil"/>
              <w:left w:val="nil"/>
              <w:bottom w:val="single" w:sz="8" w:space="0" w:color="auto"/>
              <w:right w:val="single" w:sz="8" w:space="0" w:color="auto"/>
            </w:tcBorders>
            <w:shd w:val="clear" w:color="auto" w:fill="auto"/>
            <w:noWrap/>
            <w:vAlign w:val="center"/>
            <w:hideMark/>
          </w:tcPr>
          <w:p w14:paraId="6E0D8355" w14:textId="77777777" w:rsidR="009B5E36" w:rsidRPr="006A15AE" w:rsidRDefault="009B5E36"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1%</w:t>
            </w:r>
          </w:p>
        </w:tc>
        <w:tc>
          <w:tcPr>
            <w:tcW w:w="1701" w:type="dxa"/>
            <w:tcBorders>
              <w:top w:val="nil"/>
              <w:left w:val="nil"/>
              <w:bottom w:val="single" w:sz="8" w:space="0" w:color="auto"/>
              <w:right w:val="single" w:sz="8" w:space="0" w:color="auto"/>
            </w:tcBorders>
            <w:shd w:val="clear" w:color="auto" w:fill="auto"/>
            <w:noWrap/>
            <w:vAlign w:val="center"/>
            <w:hideMark/>
          </w:tcPr>
          <w:p w14:paraId="6E0D8356" w14:textId="77777777" w:rsidR="009B5E36" w:rsidRPr="006A15AE" w:rsidRDefault="009B5E36"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 4%</w:t>
            </w:r>
          </w:p>
        </w:tc>
        <w:tc>
          <w:tcPr>
            <w:tcW w:w="1559" w:type="dxa"/>
            <w:tcBorders>
              <w:top w:val="nil"/>
              <w:left w:val="nil"/>
              <w:bottom w:val="single" w:sz="8" w:space="0" w:color="auto"/>
              <w:right w:val="single" w:sz="8" w:space="0" w:color="auto"/>
            </w:tcBorders>
            <w:shd w:val="clear" w:color="auto" w:fill="auto"/>
            <w:noWrap/>
            <w:vAlign w:val="center"/>
            <w:hideMark/>
          </w:tcPr>
          <w:p w14:paraId="6E0D8357" w14:textId="77777777" w:rsidR="009B5E36" w:rsidRPr="006A15AE" w:rsidRDefault="009B5E36"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3%</w:t>
            </w:r>
          </w:p>
        </w:tc>
        <w:tc>
          <w:tcPr>
            <w:tcW w:w="1559" w:type="dxa"/>
            <w:tcBorders>
              <w:top w:val="nil"/>
              <w:left w:val="nil"/>
              <w:bottom w:val="single" w:sz="8" w:space="0" w:color="auto"/>
              <w:right w:val="single" w:sz="8" w:space="0" w:color="auto"/>
            </w:tcBorders>
            <w:shd w:val="clear" w:color="auto" w:fill="auto"/>
            <w:noWrap/>
            <w:vAlign w:val="center"/>
            <w:hideMark/>
          </w:tcPr>
          <w:p w14:paraId="6E0D8358" w14:textId="77777777" w:rsidR="009B5E36" w:rsidRPr="006A15AE" w:rsidRDefault="009B5E36"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9%</w:t>
            </w:r>
          </w:p>
        </w:tc>
      </w:tr>
      <w:tr w:rsidR="00925A7B" w:rsidRPr="006A15AE" w14:paraId="6E0D8362" w14:textId="77777777" w:rsidTr="009B5E36">
        <w:trPr>
          <w:trHeight w:val="315"/>
        </w:trPr>
        <w:tc>
          <w:tcPr>
            <w:tcW w:w="1760" w:type="dxa"/>
            <w:vMerge/>
            <w:tcBorders>
              <w:top w:val="nil"/>
              <w:left w:val="single" w:sz="8" w:space="0" w:color="auto"/>
              <w:right w:val="single" w:sz="8" w:space="0" w:color="auto"/>
            </w:tcBorders>
            <w:shd w:val="clear" w:color="auto" w:fill="auto"/>
            <w:noWrap/>
            <w:vAlign w:val="center"/>
          </w:tcPr>
          <w:p w14:paraId="6E0D835A" w14:textId="77777777" w:rsidR="00925A7B" w:rsidRPr="006A15AE" w:rsidRDefault="00925A7B" w:rsidP="009B5E36">
            <w:pPr>
              <w:widowControl/>
              <w:rPr>
                <w:rFonts w:ascii="Calibri" w:hAnsi="Calibri"/>
                <w:color w:val="000000"/>
                <w:szCs w:val="22"/>
                <w:lang w:eastAsia="en-GB" w:bidi="ar-SA"/>
              </w:rPr>
            </w:pPr>
          </w:p>
        </w:tc>
        <w:tc>
          <w:tcPr>
            <w:tcW w:w="959" w:type="dxa"/>
            <w:vMerge/>
            <w:tcBorders>
              <w:top w:val="nil"/>
              <w:left w:val="nil"/>
              <w:right w:val="single" w:sz="8" w:space="0" w:color="auto"/>
            </w:tcBorders>
            <w:shd w:val="clear" w:color="auto" w:fill="auto"/>
            <w:noWrap/>
          </w:tcPr>
          <w:p w14:paraId="6E0D835B" w14:textId="77777777" w:rsidR="00925A7B" w:rsidRPr="006A15AE" w:rsidRDefault="00925A7B" w:rsidP="009B5E36">
            <w:pPr>
              <w:widowControl/>
              <w:rPr>
                <w:rFonts w:ascii="Calibri" w:hAnsi="Calibri"/>
                <w:color w:val="000000"/>
                <w:szCs w:val="22"/>
                <w:lang w:eastAsia="en-GB" w:bidi="ar-SA"/>
              </w:rPr>
            </w:pPr>
          </w:p>
        </w:tc>
        <w:tc>
          <w:tcPr>
            <w:tcW w:w="2300" w:type="dxa"/>
            <w:tcBorders>
              <w:top w:val="nil"/>
              <w:left w:val="nil"/>
              <w:bottom w:val="single" w:sz="8" w:space="0" w:color="auto"/>
              <w:right w:val="single" w:sz="8" w:space="0" w:color="auto"/>
            </w:tcBorders>
            <w:shd w:val="clear" w:color="auto" w:fill="auto"/>
            <w:noWrap/>
            <w:vAlign w:val="center"/>
          </w:tcPr>
          <w:p w14:paraId="6E0D835C" w14:textId="77777777" w:rsidR="00925A7B" w:rsidRPr="006A15AE" w:rsidRDefault="00925A7B" w:rsidP="006A15AE">
            <w:pPr>
              <w:widowControl/>
              <w:rPr>
                <w:rFonts w:ascii="Calibri" w:hAnsi="Calibri"/>
                <w:color w:val="000000"/>
                <w:szCs w:val="22"/>
                <w:lang w:eastAsia="en-GB" w:bidi="ar-SA"/>
              </w:rPr>
            </w:pPr>
            <w:r>
              <w:rPr>
                <w:rFonts w:ascii="Calibri" w:hAnsi="Calibri"/>
                <w:color w:val="000000"/>
                <w:szCs w:val="22"/>
                <w:lang w:eastAsia="en-GB" w:bidi="ar-SA"/>
              </w:rPr>
              <w:t>1</w:t>
            </w:r>
            <w:r w:rsidRPr="006A15AE">
              <w:rPr>
                <w:rFonts w:ascii="Calibri" w:hAnsi="Calibri"/>
                <w:color w:val="000000"/>
                <w:szCs w:val="22"/>
                <w:lang w:eastAsia="en-GB" w:bidi="ar-SA"/>
              </w:rPr>
              <w:t>2 years and above</w:t>
            </w:r>
          </w:p>
        </w:tc>
        <w:tc>
          <w:tcPr>
            <w:tcW w:w="2084" w:type="dxa"/>
            <w:tcBorders>
              <w:top w:val="nil"/>
              <w:left w:val="nil"/>
              <w:bottom w:val="single" w:sz="8" w:space="0" w:color="auto"/>
              <w:right w:val="single" w:sz="8" w:space="0" w:color="auto"/>
            </w:tcBorders>
            <w:shd w:val="clear" w:color="auto" w:fill="auto"/>
            <w:noWrap/>
            <w:vAlign w:val="center"/>
          </w:tcPr>
          <w:p w14:paraId="6E0D835D"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&lt;1%</w:t>
            </w:r>
          </w:p>
        </w:tc>
        <w:tc>
          <w:tcPr>
            <w:tcW w:w="1559" w:type="dxa"/>
            <w:tcBorders>
              <w:top w:val="nil"/>
              <w:left w:val="nil"/>
              <w:bottom w:val="single" w:sz="8" w:space="0" w:color="auto"/>
              <w:right w:val="single" w:sz="8" w:space="0" w:color="auto"/>
            </w:tcBorders>
            <w:shd w:val="clear" w:color="auto" w:fill="auto"/>
            <w:noWrap/>
            <w:vAlign w:val="center"/>
          </w:tcPr>
          <w:p w14:paraId="6E0D835E"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1%</w:t>
            </w:r>
          </w:p>
        </w:tc>
        <w:tc>
          <w:tcPr>
            <w:tcW w:w="1701" w:type="dxa"/>
            <w:tcBorders>
              <w:top w:val="nil"/>
              <w:left w:val="nil"/>
              <w:bottom w:val="single" w:sz="8" w:space="0" w:color="auto"/>
              <w:right w:val="single" w:sz="8" w:space="0" w:color="auto"/>
            </w:tcBorders>
            <w:shd w:val="clear" w:color="auto" w:fill="auto"/>
            <w:noWrap/>
            <w:vAlign w:val="center"/>
          </w:tcPr>
          <w:p w14:paraId="6E0D835F"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 4%</w:t>
            </w:r>
          </w:p>
        </w:tc>
        <w:tc>
          <w:tcPr>
            <w:tcW w:w="1559" w:type="dxa"/>
            <w:tcBorders>
              <w:top w:val="nil"/>
              <w:left w:val="nil"/>
              <w:bottom w:val="single" w:sz="8" w:space="0" w:color="auto"/>
              <w:right w:val="single" w:sz="8" w:space="0" w:color="auto"/>
            </w:tcBorders>
            <w:shd w:val="clear" w:color="auto" w:fill="auto"/>
            <w:noWrap/>
            <w:vAlign w:val="center"/>
          </w:tcPr>
          <w:p w14:paraId="6E0D8360"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3%</w:t>
            </w:r>
          </w:p>
        </w:tc>
        <w:tc>
          <w:tcPr>
            <w:tcW w:w="1559" w:type="dxa"/>
            <w:tcBorders>
              <w:top w:val="nil"/>
              <w:left w:val="nil"/>
              <w:bottom w:val="single" w:sz="8" w:space="0" w:color="auto"/>
              <w:right w:val="single" w:sz="8" w:space="0" w:color="auto"/>
            </w:tcBorders>
            <w:shd w:val="clear" w:color="auto" w:fill="auto"/>
            <w:noWrap/>
            <w:vAlign w:val="center"/>
          </w:tcPr>
          <w:p w14:paraId="6E0D8361"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9%</w:t>
            </w:r>
          </w:p>
        </w:tc>
      </w:tr>
      <w:tr w:rsidR="00925A7B" w:rsidRPr="006A15AE" w14:paraId="6E0D836B" w14:textId="77777777" w:rsidTr="009B5E36">
        <w:trPr>
          <w:trHeight w:val="315"/>
        </w:trPr>
        <w:tc>
          <w:tcPr>
            <w:tcW w:w="1760" w:type="dxa"/>
            <w:vMerge/>
            <w:tcBorders>
              <w:top w:val="nil"/>
              <w:left w:val="single" w:sz="8" w:space="0" w:color="auto"/>
              <w:right w:val="single" w:sz="8" w:space="0" w:color="auto"/>
            </w:tcBorders>
            <w:shd w:val="clear" w:color="auto" w:fill="auto"/>
            <w:noWrap/>
            <w:vAlign w:val="center"/>
          </w:tcPr>
          <w:p w14:paraId="6E0D8363" w14:textId="77777777" w:rsidR="00925A7B" w:rsidRPr="006A15AE" w:rsidRDefault="00925A7B" w:rsidP="009B5E36">
            <w:pPr>
              <w:widowControl/>
              <w:rPr>
                <w:rFonts w:ascii="Calibri" w:hAnsi="Calibri"/>
                <w:color w:val="000000"/>
                <w:szCs w:val="22"/>
                <w:lang w:eastAsia="en-GB" w:bidi="ar-SA"/>
              </w:rPr>
            </w:pPr>
          </w:p>
        </w:tc>
        <w:tc>
          <w:tcPr>
            <w:tcW w:w="959" w:type="dxa"/>
            <w:vMerge/>
            <w:tcBorders>
              <w:top w:val="nil"/>
              <w:left w:val="nil"/>
              <w:right w:val="single" w:sz="8" w:space="0" w:color="auto"/>
            </w:tcBorders>
            <w:shd w:val="clear" w:color="auto" w:fill="auto"/>
            <w:noWrap/>
          </w:tcPr>
          <w:p w14:paraId="6E0D8364" w14:textId="77777777" w:rsidR="00925A7B" w:rsidRPr="006A15AE" w:rsidRDefault="00925A7B" w:rsidP="009B5E36">
            <w:pPr>
              <w:widowControl/>
              <w:rPr>
                <w:rFonts w:ascii="Calibri" w:hAnsi="Calibri"/>
                <w:color w:val="000000"/>
                <w:szCs w:val="22"/>
                <w:lang w:eastAsia="en-GB" w:bidi="ar-SA"/>
              </w:rPr>
            </w:pPr>
          </w:p>
        </w:tc>
        <w:tc>
          <w:tcPr>
            <w:tcW w:w="2300" w:type="dxa"/>
            <w:tcBorders>
              <w:top w:val="nil"/>
              <w:left w:val="nil"/>
              <w:bottom w:val="single" w:sz="8" w:space="0" w:color="auto"/>
              <w:right w:val="single" w:sz="8" w:space="0" w:color="auto"/>
            </w:tcBorders>
            <w:shd w:val="clear" w:color="auto" w:fill="auto"/>
            <w:noWrap/>
            <w:vAlign w:val="center"/>
          </w:tcPr>
          <w:p w14:paraId="6E0D8365" w14:textId="77777777" w:rsidR="00925A7B" w:rsidRDefault="00925A7B" w:rsidP="006A15AE">
            <w:pPr>
              <w:widowControl/>
              <w:rPr>
                <w:rFonts w:ascii="Calibri" w:hAnsi="Calibri"/>
                <w:color w:val="000000"/>
                <w:szCs w:val="22"/>
                <w:lang w:eastAsia="en-GB" w:bidi="ar-SA"/>
              </w:rPr>
            </w:pPr>
            <w:r>
              <w:rPr>
                <w:rFonts w:ascii="Calibri" w:hAnsi="Calibri"/>
                <w:color w:val="000000"/>
                <w:szCs w:val="22"/>
                <w:lang w:eastAsia="en-GB" w:bidi="ar-SA"/>
              </w:rPr>
              <w:t>7-11 years</w:t>
            </w:r>
          </w:p>
        </w:tc>
        <w:tc>
          <w:tcPr>
            <w:tcW w:w="2084" w:type="dxa"/>
            <w:tcBorders>
              <w:top w:val="nil"/>
              <w:left w:val="nil"/>
              <w:bottom w:val="single" w:sz="8" w:space="0" w:color="auto"/>
              <w:right w:val="single" w:sz="8" w:space="0" w:color="auto"/>
            </w:tcBorders>
            <w:shd w:val="clear" w:color="auto" w:fill="auto"/>
            <w:noWrap/>
            <w:vAlign w:val="center"/>
          </w:tcPr>
          <w:p w14:paraId="6E0D8366"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&lt;1%</w:t>
            </w:r>
          </w:p>
        </w:tc>
        <w:tc>
          <w:tcPr>
            <w:tcW w:w="1559" w:type="dxa"/>
            <w:tcBorders>
              <w:top w:val="nil"/>
              <w:left w:val="nil"/>
              <w:bottom w:val="single" w:sz="8" w:space="0" w:color="auto"/>
              <w:right w:val="single" w:sz="8" w:space="0" w:color="auto"/>
            </w:tcBorders>
            <w:shd w:val="clear" w:color="auto" w:fill="auto"/>
            <w:noWrap/>
            <w:vAlign w:val="center"/>
          </w:tcPr>
          <w:p w14:paraId="6E0D8367"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1%</w:t>
            </w:r>
          </w:p>
        </w:tc>
        <w:tc>
          <w:tcPr>
            <w:tcW w:w="1701" w:type="dxa"/>
            <w:tcBorders>
              <w:top w:val="nil"/>
              <w:left w:val="nil"/>
              <w:bottom w:val="single" w:sz="8" w:space="0" w:color="auto"/>
              <w:right w:val="single" w:sz="8" w:space="0" w:color="auto"/>
            </w:tcBorders>
            <w:shd w:val="clear" w:color="auto" w:fill="auto"/>
            <w:noWrap/>
            <w:vAlign w:val="center"/>
          </w:tcPr>
          <w:p w14:paraId="6E0D8368" w14:textId="77777777" w:rsidR="00925A7B" w:rsidRPr="006A15AE" w:rsidRDefault="00925A7B" w:rsidP="006A15AE">
            <w:pPr>
              <w:widowControl/>
              <w:jc w:val="center"/>
              <w:rPr>
                <w:rFonts w:ascii="Calibri" w:hAnsi="Calibri"/>
                <w:color w:val="000000"/>
                <w:szCs w:val="22"/>
                <w:lang w:eastAsia="en-GB" w:bidi="ar-SA"/>
              </w:rPr>
            </w:pPr>
            <w:r>
              <w:rPr>
                <w:rFonts w:ascii="Calibri" w:hAnsi="Calibri"/>
                <w:color w:val="000000"/>
                <w:szCs w:val="22"/>
                <w:lang w:eastAsia="en-GB" w:bidi="ar-SA"/>
              </w:rPr>
              <w:t>NA</w:t>
            </w:r>
          </w:p>
        </w:tc>
        <w:tc>
          <w:tcPr>
            <w:tcW w:w="1559" w:type="dxa"/>
            <w:tcBorders>
              <w:top w:val="nil"/>
              <w:left w:val="nil"/>
              <w:bottom w:val="single" w:sz="8" w:space="0" w:color="auto"/>
              <w:right w:val="single" w:sz="8" w:space="0" w:color="auto"/>
            </w:tcBorders>
            <w:shd w:val="clear" w:color="auto" w:fill="auto"/>
            <w:noWrap/>
            <w:vAlign w:val="center"/>
          </w:tcPr>
          <w:p w14:paraId="6E0D8369"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3%</w:t>
            </w:r>
          </w:p>
        </w:tc>
        <w:tc>
          <w:tcPr>
            <w:tcW w:w="1559" w:type="dxa"/>
            <w:tcBorders>
              <w:top w:val="nil"/>
              <w:left w:val="nil"/>
              <w:bottom w:val="single" w:sz="8" w:space="0" w:color="auto"/>
              <w:right w:val="single" w:sz="8" w:space="0" w:color="auto"/>
            </w:tcBorders>
            <w:shd w:val="clear" w:color="auto" w:fill="auto"/>
            <w:noWrap/>
            <w:vAlign w:val="center"/>
          </w:tcPr>
          <w:p w14:paraId="6E0D836A" w14:textId="77777777" w:rsidR="00925A7B" w:rsidRDefault="00925A7B" w:rsidP="006A15AE">
            <w:pPr>
              <w:widowControl/>
              <w:jc w:val="center"/>
              <w:rPr>
                <w:rFonts w:ascii="Calibri" w:hAnsi="Calibri"/>
                <w:color w:val="000000"/>
                <w:szCs w:val="22"/>
                <w:lang w:eastAsia="en-GB" w:bidi="ar-SA"/>
              </w:rPr>
            </w:pPr>
            <w:r>
              <w:rPr>
                <w:rFonts w:ascii="Calibri" w:hAnsi="Calibri"/>
                <w:color w:val="000000"/>
                <w:szCs w:val="22"/>
                <w:lang w:eastAsia="en-GB" w:bidi="ar-SA"/>
              </w:rPr>
              <w:t>NA</w:t>
            </w:r>
          </w:p>
        </w:tc>
      </w:tr>
      <w:tr w:rsidR="00925A7B" w:rsidRPr="006A15AE" w14:paraId="6E0D8374" w14:textId="77777777" w:rsidTr="009B5E36">
        <w:trPr>
          <w:trHeight w:val="315"/>
        </w:trPr>
        <w:tc>
          <w:tcPr>
            <w:tcW w:w="1760" w:type="dxa"/>
            <w:vMerge/>
            <w:tcBorders>
              <w:left w:val="single" w:sz="8" w:space="0" w:color="auto"/>
              <w:bottom w:val="single" w:sz="8" w:space="0" w:color="auto"/>
              <w:right w:val="single" w:sz="8" w:space="0" w:color="auto"/>
            </w:tcBorders>
            <w:shd w:val="clear" w:color="auto" w:fill="auto"/>
            <w:noWrap/>
            <w:vAlign w:val="center"/>
            <w:hideMark/>
          </w:tcPr>
          <w:p w14:paraId="6E0D836C" w14:textId="77777777" w:rsidR="00925A7B" w:rsidRPr="006A15AE" w:rsidRDefault="00925A7B" w:rsidP="009B5E36">
            <w:pPr>
              <w:widowControl/>
              <w:rPr>
                <w:rFonts w:ascii="Calibri" w:hAnsi="Calibri"/>
                <w:color w:val="000000"/>
                <w:szCs w:val="22"/>
                <w:lang w:eastAsia="en-GB" w:bidi="ar-SA"/>
              </w:rPr>
            </w:pPr>
          </w:p>
        </w:tc>
        <w:tc>
          <w:tcPr>
            <w:tcW w:w="959" w:type="dxa"/>
            <w:vMerge/>
            <w:tcBorders>
              <w:left w:val="nil"/>
              <w:bottom w:val="single" w:sz="8" w:space="0" w:color="auto"/>
              <w:right w:val="single" w:sz="8" w:space="0" w:color="auto"/>
            </w:tcBorders>
            <w:shd w:val="clear" w:color="auto" w:fill="auto"/>
            <w:noWrap/>
            <w:hideMark/>
          </w:tcPr>
          <w:p w14:paraId="6E0D836D" w14:textId="77777777" w:rsidR="00925A7B" w:rsidRPr="006A15AE" w:rsidRDefault="00925A7B" w:rsidP="009B5E36">
            <w:pPr>
              <w:widowControl/>
              <w:rPr>
                <w:rFonts w:ascii="Calibri" w:hAnsi="Calibri"/>
                <w:color w:val="000000"/>
                <w:szCs w:val="22"/>
                <w:lang w:eastAsia="en-GB" w:bidi="ar-SA"/>
              </w:rPr>
            </w:pPr>
          </w:p>
        </w:tc>
        <w:tc>
          <w:tcPr>
            <w:tcW w:w="2300" w:type="dxa"/>
            <w:tcBorders>
              <w:top w:val="nil"/>
              <w:left w:val="nil"/>
              <w:bottom w:val="single" w:sz="8" w:space="0" w:color="auto"/>
              <w:right w:val="single" w:sz="8" w:space="0" w:color="auto"/>
            </w:tcBorders>
            <w:shd w:val="clear" w:color="auto" w:fill="auto"/>
            <w:noWrap/>
            <w:vAlign w:val="center"/>
            <w:hideMark/>
          </w:tcPr>
          <w:p w14:paraId="6E0D836E" w14:textId="77777777" w:rsidR="00925A7B" w:rsidRPr="006A15AE" w:rsidRDefault="00925A7B" w:rsidP="006A15AE">
            <w:pPr>
              <w:widowControl/>
              <w:rPr>
                <w:rFonts w:ascii="Calibri" w:hAnsi="Calibri"/>
                <w:color w:val="000000"/>
                <w:szCs w:val="22"/>
                <w:lang w:eastAsia="en-GB" w:bidi="ar-SA"/>
              </w:rPr>
            </w:pPr>
            <w:r w:rsidRPr="006A15AE">
              <w:rPr>
                <w:rFonts w:ascii="Calibri" w:hAnsi="Calibri"/>
                <w:color w:val="000000"/>
                <w:szCs w:val="22"/>
                <w:lang w:eastAsia="en-GB" w:bidi="ar-SA"/>
              </w:rPr>
              <w:t>2-6 years</w:t>
            </w:r>
          </w:p>
        </w:tc>
        <w:tc>
          <w:tcPr>
            <w:tcW w:w="2084" w:type="dxa"/>
            <w:tcBorders>
              <w:top w:val="nil"/>
              <w:left w:val="nil"/>
              <w:bottom w:val="single" w:sz="8" w:space="0" w:color="auto"/>
              <w:right w:val="single" w:sz="8" w:space="0" w:color="auto"/>
            </w:tcBorders>
            <w:shd w:val="clear" w:color="auto" w:fill="auto"/>
            <w:noWrap/>
            <w:vAlign w:val="center"/>
            <w:hideMark/>
          </w:tcPr>
          <w:p w14:paraId="6E0D836F"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Not consumed</w:t>
            </w:r>
          </w:p>
        </w:tc>
        <w:tc>
          <w:tcPr>
            <w:tcW w:w="1559" w:type="dxa"/>
            <w:tcBorders>
              <w:top w:val="nil"/>
              <w:left w:val="nil"/>
              <w:bottom w:val="single" w:sz="8" w:space="0" w:color="auto"/>
              <w:right w:val="single" w:sz="8" w:space="0" w:color="auto"/>
            </w:tcBorders>
            <w:shd w:val="clear" w:color="auto" w:fill="auto"/>
            <w:noWrap/>
            <w:vAlign w:val="center"/>
            <w:hideMark/>
          </w:tcPr>
          <w:p w14:paraId="6E0D8370"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NA</w:t>
            </w:r>
          </w:p>
        </w:tc>
        <w:tc>
          <w:tcPr>
            <w:tcW w:w="1701" w:type="dxa"/>
            <w:tcBorders>
              <w:top w:val="nil"/>
              <w:left w:val="nil"/>
              <w:bottom w:val="single" w:sz="8" w:space="0" w:color="auto"/>
              <w:right w:val="single" w:sz="8" w:space="0" w:color="auto"/>
            </w:tcBorders>
            <w:shd w:val="clear" w:color="auto" w:fill="auto"/>
            <w:noWrap/>
            <w:vAlign w:val="center"/>
            <w:hideMark/>
          </w:tcPr>
          <w:p w14:paraId="6E0D8371"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NA</w:t>
            </w:r>
          </w:p>
        </w:tc>
        <w:tc>
          <w:tcPr>
            <w:tcW w:w="1559" w:type="dxa"/>
            <w:tcBorders>
              <w:top w:val="nil"/>
              <w:left w:val="nil"/>
              <w:bottom w:val="single" w:sz="8" w:space="0" w:color="auto"/>
              <w:right w:val="single" w:sz="8" w:space="0" w:color="auto"/>
            </w:tcBorders>
            <w:shd w:val="clear" w:color="auto" w:fill="auto"/>
            <w:noWrap/>
            <w:vAlign w:val="center"/>
            <w:hideMark/>
          </w:tcPr>
          <w:p w14:paraId="6E0D8372"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NA</w:t>
            </w:r>
          </w:p>
        </w:tc>
        <w:tc>
          <w:tcPr>
            <w:tcW w:w="1559" w:type="dxa"/>
            <w:tcBorders>
              <w:top w:val="nil"/>
              <w:left w:val="nil"/>
              <w:bottom w:val="single" w:sz="8" w:space="0" w:color="auto"/>
              <w:right w:val="single" w:sz="8" w:space="0" w:color="auto"/>
            </w:tcBorders>
            <w:shd w:val="clear" w:color="auto" w:fill="auto"/>
            <w:noWrap/>
            <w:vAlign w:val="center"/>
            <w:hideMark/>
          </w:tcPr>
          <w:p w14:paraId="6E0D8373"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NA</w:t>
            </w:r>
          </w:p>
        </w:tc>
      </w:tr>
      <w:tr w:rsidR="00925A7B" w:rsidRPr="006A15AE" w14:paraId="6E0D837E" w14:textId="77777777" w:rsidTr="009B5E36">
        <w:trPr>
          <w:trHeight w:val="315"/>
        </w:trPr>
        <w:tc>
          <w:tcPr>
            <w:tcW w:w="1760" w:type="dxa"/>
            <w:vMerge w:val="restart"/>
            <w:tcBorders>
              <w:top w:val="nil"/>
              <w:left w:val="single" w:sz="8" w:space="0" w:color="auto"/>
              <w:right w:val="single" w:sz="8" w:space="0" w:color="auto"/>
            </w:tcBorders>
            <w:shd w:val="clear" w:color="auto" w:fill="auto"/>
            <w:noWrap/>
            <w:vAlign w:val="center"/>
            <w:hideMark/>
          </w:tcPr>
          <w:p w14:paraId="6E0D8375" w14:textId="77777777" w:rsidR="00925A7B" w:rsidRPr="006A15AE" w:rsidRDefault="00925A7B" w:rsidP="009B5E36">
            <w:pPr>
              <w:widowControl/>
              <w:rPr>
                <w:rFonts w:ascii="Calibri" w:hAnsi="Calibri"/>
                <w:color w:val="000000"/>
                <w:szCs w:val="22"/>
                <w:lang w:eastAsia="en-GB" w:bidi="ar-SA"/>
              </w:rPr>
            </w:pPr>
            <w:r w:rsidRPr="006A15AE">
              <w:rPr>
                <w:rFonts w:ascii="Calibri" w:hAnsi="Calibri"/>
                <w:color w:val="000000"/>
                <w:szCs w:val="22"/>
                <w:lang w:eastAsia="en-GB" w:bidi="ar-SA"/>
              </w:rPr>
              <w:t>New Zealand</w:t>
            </w:r>
          </w:p>
          <w:p w14:paraId="6E0D8376" w14:textId="77777777" w:rsidR="00925A7B" w:rsidRPr="006A15AE" w:rsidRDefault="00925A7B" w:rsidP="009B5E36">
            <w:pPr>
              <w:rPr>
                <w:rFonts w:ascii="Calibri" w:hAnsi="Calibri"/>
                <w:color w:val="000000"/>
                <w:szCs w:val="22"/>
                <w:lang w:eastAsia="en-GB" w:bidi="ar-SA"/>
              </w:rPr>
            </w:pPr>
          </w:p>
        </w:tc>
        <w:tc>
          <w:tcPr>
            <w:tcW w:w="959" w:type="dxa"/>
            <w:tcBorders>
              <w:top w:val="nil"/>
              <w:left w:val="nil"/>
              <w:bottom w:val="single" w:sz="8" w:space="0" w:color="auto"/>
              <w:right w:val="single" w:sz="8" w:space="0" w:color="auto"/>
            </w:tcBorders>
            <w:shd w:val="clear" w:color="auto" w:fill="auto"/>
            <w:noWrap/>
            <w:hideMark/>
          </w:tcPr>
          <w:p w14:paraId="6E0D8377" w14:textId="77777777" w:rsidR="00925A7B" w:rsidRPr="006A15AE" w:rsidRDefault="00925A7B" w:rsidP="009B5E36">
            <w:pPr>
              <w:widowControl/>
              <w:rPr>
                <w:rFonts w:ascii="Calibri" w:hAnsi="Calibri"/>
                <w:color w:val="000000"/>
                <w:szCs w:val="22"/>
                <w:lang w:eastAsia="en-GB" w:bidi="ar-SA"/>
              </w:rPr>
            </w:pPr>
            <w:r w:rsidRPr="006A15AE">
              <w:rPr>
                <w:rFonts w:ascii="Calibri" w:hAnsi="Calibri"/>
                <w:color w:val="000000"/>
                <w:szCs w:val="22"/>
                <w:lang w:eastAsia="en-GB" w:bidi="ar-SA"/>
              </w:rPr>
              <w:t>2008</w:t>
            </w:r>
          </w:p>
        </w:tc>
        <w:tc>
          <w:tcPr>
            <w:tcW w:w="2300" w:type="dxa"/>
            <w:tcBorders>
              <w:top w:val="nil"/>
              <w:left w:val="nil"/>
              <w:bottom w:val="single" w:sz="8" w:space="0" w:color="auto"/>
              <w:right w:val="single" w:sz="8" w:space="0" w:color="auto"/>
            </w:tcBorders>
            <w:shd w:val="clear" w:color="auto" w:fill="auto"/>
            <w:noWrap/>
            <w:vAlign w:val="center"/>
            <w:hideMark/>
          </w:tcPr>
          <w:p w14:paraId="6E0D8378" w14:textId="77777777" w:rsidR="00925A7B" w:rsidRPr="006A15AE" w:rsidRDefault="00925A7B" w:rsidP="006A15AE">
            <w:pPr>
              <w:widowControl/>
              <w:rPr>
                <w:rFonts w:ascii="Calibri" w:hAnsi="Calibri"/>
                <w:color w:val="000000"/>
                <w:szCs w:val="22"/>
                <w:lang w:eastAsia="en-GB" w:bidi="ar-SA"/>
              </w:rPr>
            </w:pPr>
            <w:r w:rsidRPr="006A15AE">
              <w:rPr>
                <w:rFonts w:ascii="Calibri" w:hAnsi="Calibri"/>
                <w:color w:val="000000"/>
                <w:szCs w:val="22"/>
                <w:lang w:eastAsia="en-GB" w:bidi="ar-SA"/>
              </w:rPr>
              <w:t>15 years and above</w:t>
            </w:r>
          </w:p>
        </w:tc>
        <w:tc>
          <w:tcPr>
            <w:tcW w:w="2084" w:type="dxa"/>
            <w:tcBorders>
              <w:top w:val="nil"/>
              <w:left w:val="nil"/>
              <w:bottom w:val="single" w:sz="8" w:space="0" w:color="auto"/>
              <w:right w:val="single" w:sz="8" w:space="0" w:color="auto"/>
            </w:tcBorders>
            <w:shd w:val="clear" w:color="auto" w:fill="auto"/>
            <w:noWrap/>
            <w:vAlign w:val="center"/>
            <w:hideMark/>
          </w:tcPr>
          <w:p w14:paraId="6E0D8379"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&lt;1%</w:t>
            </w:r>
          </w:p>
        </w:tc>
        <w:tc>
          <w:tcPr>
            <w:tcW w:w="1559" w:type="dxa"/>
            <w:tcBorders>
              <w:top w:val="nil"/>
              <w:left w:val="nil"/>
              <w:bottom w:val="single" w:sz="8" w:space="0" w:color="auto"/>
              <w:right w:val="single" w:sz="8" w:space="0" w:color="auto"/>
            </w:tcBorders>
            <w:shd w:val="clear" w:color="auto" w:fill="auto"/>
            <w:noWrap/>
            <w:vAlign w:val="center"/>
            <w:hideMark/>
          </w:tcPr>
          <w:p w14:paraId="6E0D837A"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&lt;1%</w:t>
            </w:r>
          </w:p>
        </w:tc>
        <w:tc>
          <w:tcPr>
            <w:tcW w:w="1701" w:type="dxa"/>
            <w:tcBorders>
              <w:top w:val="nil"/>
              <w:left w:val="nil"/>
              <w:bottom w:val="single" w:sz="8" w:space="0" w:color="auto"/>
              <w:right w:val="single" w:sz="8" w:space="0" w:color="auto"/>
            </w:tcBorders>
            <w:shd w:val="clear" w:color="auto" w:fill="auto"/>
            <w:noWrap/>
            <w:vAlign w:val="center"/>
            <w:hideMark/>
          </w:tcPr>
          <w:p w14:paraId="6E0D837B"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1%</w:t>
            </w:r>
          </w:p>
        </w:tc>
        <w:tc>
          <w:tcPr>
            <w:tcW w:w="1559" w:type="dxa"/>
            <w:tcBorders>
              <w:top w:val="nil"/>
              <w:left w:val="nil"/>
              <w:bottom w:val="single" w:sz="8" w:space="0" w:color="auto"/>
              <w:right w:val="single" w:sz="8" w:space="0" w:color="auto"/>
            </w:tcBorders>
            <w:shd w:val="clear" w:color="auto" w:fill="auto"/>
            <w:noWrap/>
            <w:vAlign w:val="center"/>
            <w:hideMark/>
          </w:tcPr>
          <w:p w14:paraId="6E0D837C"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2%</w:t>
            </w:r>
          </w:p>
        </w:tc>
        <w:tc>
          <w:tcPr>
            <w:tcW w:w="1559" w:type="dxa"/>
            <w:tcBorders>
              <w:top w:val="nil"/>
              <w:left w:val="nil"/>
              <w:bottom w:val="single" w:sz="8" w:space="0" w:color="auto"/>
              <w:right w:val="single" w:sz="8" w:space="0" w:color="auto"/>
            </w:tcBorders>
            <w:shd w:val="clear" w:color="auto" w:fill="auto"/>
            <w:noWrap/>
            <w:vAlign w:val="center"/>
            <w:hideMark/>
          </w:tcPr>
          <w:p w14:paraId="6E0D837D"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3%</w:t>
            </w:r>
          </w:p>
        </w:tc>
      </w:tr>
      <w:tr w:rsidR="00925A7B" w:rsidRPr="006A15AE" w14:paraId="6E0D8387" w14:textId="77777777" w:rsidTr="009B5E36">
        <w:trPr>
          <w:trHeight w:val="315"/>
        </w:trPr>
        <w:tc>
          <w:tcPr>
            <w:tcW w:w="1760" w:type="dxa"/>
            <w:vMerge/>
            <w:tcBorders>
              <w:left w:val="single" w:sz="8" w:space="0" w:color="auto"/>
              <w:bottom w:val="single" w:sz="8" w:space="0" w:color="auto"/>
              <w:right w:val="single" w:sz="8" w:space="0" w:color="auto"/>
            </w:tcBorders>
            <w:shd w:val="clear" w:color="auto" w:fill="auto"/>
            <w:noWrap/>
            <w:vAlign w:val="center"/>
            <w:hideMark/>
          </w:tcPr>
          <w:p w14:paraId="6E0D837F" w14:textId="77777777" w:rsidR="00925A7B" w:rsidRPr="006A15AE" w:rsidRDefault="00925A7B" w:rsidP="006A15AE">
            <w:pPr>
              <w:widowControl/>
              <w:rPr>
                <w:rFonts w:ascii="Calibri" w:hAnsi="Calibri"/>
                <w:color w:val="000000"/>
                <w:szCs w:val="22"/>
                <w:lang w:eastAsia="en-GB" w:bidi="ar-SA"/>
              </w:rPr>
            </w:pPr>
          </w:p>
        </w:tc>
        <w:tc>
          <w:tcPr>
            <w:tcW w:w="959" w:type="dxa"/>
            <w:tcBorders>
              <w:top w:val="nil"/>
              <w:left w:val="nil"/>
              <w:bottom w:val="single" w:sz="8" w:space="0" w:color="auto"/>
              <w:right w:val="single" w:sz="8" w:space="0" w:color="auto"/>
            </w:tcBorders>
            <w:shd w:val="clear" w:color="auto" w:fill="auto"/>
            <w:noWrap/>
            <w:hideMark/>
          </w:tcPr>
          <w:p w14:paraId="6E0D8380" w14:textId="77777777" w:rsidR="00925A7B" w:rsidRPr="006A15AE" w:rsidRDefault="00925A7B" w:rsidP="009B5E36">
            <w:pPr>
              <w:widowControl/>
              <w:rPr>
                <w:rFonts w:ascii="Calibri" w:hAnsi="Calibri"/>
                <w:color w:val="000000"/>
                <w:szCs w:val="22"/>
                <w:lang w:eastAsia="en-GB" w:bidi="ar-SA"/>
              </w:rPr>
            </w:pPr>
            <w:r w:rsidRPr="006A15AE">
              <w:rPr>
                <w:rFonts w:ascii="Calibri" w:hAnsi="Calibri"/>
                <w:color w:val="000000"/>
                <w:szCs w:val="22"/>
                <w:lang w:eastAsia="en-GB" w:bidi="ar-SA"/>
              </w:rPr>
              <w:t>2002</w:t>
            </w:r>
          </w:p>
        </w:tc>
        <w:tc>
          <w:tcPr>
            <w:tcW w:w="2300" w:type="dxa"/>
            <w:tcBorders>
              <w:top w:val="nil"/>
              <w:left w:val="nil"/>
              <w:bottom w:val="single" w:sz="8" w:space="0" w:color="auto"/>
              <w:right w:val="single" w:sz="8" w:space="0" w:color="auto"/>
            </w:tcBorders>
            <w:shd w:val="clear" w:color="auto" w:fill="auto"/>
            <w:noWrap/>
            <w:vAlign w:val="center"/>
            <w:hideMark/>
          </w:tcPr>
          <w:p w14:paraId="6E0D8381" w14:textId="77777777" w:rsidR="00925A7B" w:rsidRPr="006A15AE" w:rsidRDefault="00925A7B" w:rsidP="006A15AE">
            <w:pPr>
              <w:widowControl/>
              <w:rPr>
                <w:rFonts w:ascii="Calibri" w:hAnsi="Calibri"/>
                <w:color w:val="000000"/>
                <w:szCs w:val="22"/>
                <w:lang w:eastAsia="en-GB" w:bidi="ar-SA"/>
              </w:rPr>
            </w:pPr>
            <w:r w:rsidRPr="006A15AE">
              <w:rPr>
                <w:rFonts w:ascii="Calibri" w:hAnsi="Calibri"/>
                <w:color w:val="000000"/>
                <w:szCs w:val="22"/>
                <w:lang w:eastAsia="en-GB" w:bidi="ar-SA"/>
              </w:rPr>
              <w:t>5-14 years</w:t>
            </w:r>
          </w:p>
        </w:tc>
        <w:tc>
          <w:tcPr>
            <w:tcW w:w="2084" w:type="dxa"/>
            <w:tcBorders>
              <w:top w:val="nil"/>
              <w:left w:val="nil"/>
              <w:bottom w:val="single" w:sz="8" w:space="0" w:color="auto"/>
              <w:right w:val="single" w:sz="8" w:space="0" w:color="auto"/>
            </w:tcBorders>
            <w:shd w:val="clear" w:color="auto" w:fill="auto"/>
            <w:noWrap/>
            <w:vAlign w:val="center"/>
            <w:hideMark/>
          </w:tcPr>
          <w:p w14:paraId="6E0D8382"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1%</w:t>
            </w:r>
          </w:p>
        </w:tc>
        <w:tc>
          <w:tcPr>
            <w:tcW w:w="1559" w:type="dxa"/>
            <w:tcBorders>
              <w:top w:val="nil"/>
              <w:left w:val="nil"/>
              <w:bottom w:val="single" w:sz="8" w:space="0" w:color="auto"/>
              <w:right w:val="single" w:sz="8" w:space="0" w:color="auto"/>
            </w:tcBorders>
            <w:shd w:val="clear" w:color="auto" w:fill="auto"/>
            <w:noWrap/>
            <w:vAlign w:val="center"/>
            <w:hideMark/>
          </w:tcPr>
          <w:p w14:paraId="6E0D8383"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2%</w:t>
            </w:r>
          </w:p>
        </w:tc>
        <w:tc>
          <w:tcPr>
            <w:tcW w:w="1701" w:type="dxa"/>
            <w:tcBorders>
              <w:top w:val="nil"/>
              <w:left w:val="nil"/>
              <w:bottom w:val="single" w:sz="8" w:space="0" w:color="auto"/>
              <w:right w:val="single" w:sz="8" w:space="0" w:color="auto"/>
            </w:tcBorders>
            <w:shd w:val="clear" w:color="auto" w:fill="auto"/>
            <w:noWrap/>
            <w:vAlign w:val="center"/>
            <w:hideMark/>
          </w:tcPr>
          <w:p w14:paraId="6E0D8384"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6%</w:t>
            </w:r>
          </w:p>
        </w:tc>
        <w:tc>
          <w:tcPr>
            <w:tcW w:w="1559" w:type="dxa"/>
            <w:tcBorders>
              <w:top w:val="nil"/>
              <w:left w:val="nil"/>
              <w:bottom w:val="single" w:sz="8" w:space="0" w:color="auto"/>
              <w:right w:val="single" w:sz="8" w:space="0" w:color="auto"/>
            </w:tcBorders>
            <w:shd w:val="clear" w:color="auto" w:fill="auto"/>
            <w:noWrap/>
            <w:vAlign w:val="center"/>
            <w:hideMark/>
          </w:tcPr>
          <w:p w14:paraId="6E0D8385"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4%</w:t>
            </w:r>
          </w:p>
        </w:tc>
        <w:tc>
          <w:tcPr>
            <w:tcW w:w="1559" w:type="dxa"/>
            <w:tcBorders>
              <w:top w:val="nil"/>
              <w:left w:val="nil"/>
              <w:bottom w:val="single" w:sz="8" w:space="0" w:color="auto"/>
              <w:right w:val="single" w:sz="8" w:space="0" w:color="auto"/>
            </w:tcBorders>
            <w:shd w:val="clear" w:color="auto" w:fill="auto"/>
            <w:noWrap/>
            <w:vAlign w:val="center"/>
            <w:hideMark/>
          </w:tcPr>
          <w:p w14:paraId="6E0D8386" w14:textId="77777777" w:rsidR="00925A7B" w:rsidRPr="006A15AE" w:rsidRDefault="00925A7B" w:rsidP="006A15AE">
            <w:pPr>
              <w:widowControl/>
              <w:jc w:val="center"/>
              <w:rPr>
                <w:rFonts w:ascii="Calibri" w:hAnsi="Calibri"/>
                <w:color w:val="000000"/>
                <w:szCs w:val="22"/>
                <w:lang w:eastAsia="en-GB" w:bidi="ar-SA"/>
              </w:rPr>
            </w:pPr>
            <w:r w:rsidRPr="006A15AE">
              <w:rPr>
                <w:rFonts w:ascii="Calibri" w:hAnsi="Calibri"/>
                <w:color w:val="000000"/>
                <w:szCs w:val="22"/>
                <w:lang w:eastAsia="en-GB" w:bidi="ar-SA"/>
              </w:rPr>
              <w:t>14%</w:t>
            </w:r>
          </w:p>
        </w:tc>
      </w:tr>
    </w:tbl>
    <w:p w14:paraId="6E0D8388" w14:textId="77777777" w:rsidR="006A15AE" w:rsidRDefault="006A15AE" w:rsidP="00E275F2"/>
    <w:p w14:paraId="6E0D8389" w14:textId="77777777" w:rsidR="00720453" w:rsidRDefault="00720453" w:rsidP="00E275F2"/>
    <w:p w14:paraId="6E0D838A" w14:textId="77777777" w:rsidR="008A352D" w:rsidRDefault="008A1B0C" w:rsidP="008A352D">
      <w:pPr>
        <w:pStyle w:val="FSTableTitle"/>
        <w:keepNext/>
        <w:keepLines/>
      </w:pPr>
      <w:bookmarkStart w:id="92" w:name="_Ref421276385"/>
      <w:r w:rsidRPr="009B5E36">
        <w:t>Table A2.</w:t>
      </w:r>
      <w:r w:rsidRPr="009B5E36">
        <w:fldChar w:fldCharType="begin"/>
      </w:r>
      <w:r w:rsidRPr="009B5E36">
        <w:instrText xml:space="preserve"> SEQ Table_A2. \* ARABIC </w:instrText>
      </w:r>
      <w:r w:rsidRPr="009B5E36">
        <w:fldChar w:fldCharType="separate"/>
      </w:r>
      <w:r w:rsidR="00B514D9">
        <w:rPr>
          <w:noProof/>
        </w:rPr>
        <w:t>4</w:t>
      </w:r>
      <w:r w:rsidRPr="009B5E36">
        <w:rPr>
          <w:noProof/>
        </w:rPr>
        <w:fldChar w:fldCharType="end"/>
      </w:r>
      <w:bookmarkEnd w:id="92"/>
      <w:r w:rsidR="008A352D" w:rsidRPr="009B5E36">
        <w:t>: Est</w:t>
      </w:r>
      <w:r w:rsidR="00FA309B" w:rsidRPr="009B5E36">
        <w:t xml:space="preserve">imated dietary exposures </w:t>
      </w:r>
      <w:r w:rsidR="00B60085">
        <w:t>to</w:t>
      </w:r>
      <w:r w:rsidR="00B60085" w:rsidRPr="009B5E36">
        <w:t xml:space="preserve"> </w:t>
      </w:r>
      <w:r w:rsidR="00FA309B" w:rsidRPr="009B5E36">
        <w:t xml:space="preserve">Ace </w:t>
      </w:r>
      <w:r w:rsidR="008A352D" w:rsidRPr="009B5E36">
        <w:t xml:space="preserve">K </w:t>
      </w:r>
      <w:r w:rsidR="000E069E" w:rsidRPr="009B5E36">
        <w:t>combined with</w:t>
      </w:r>
      <w:r w:rsidR="008A352D" w:rsidRPr="009B5E36">
        <w:t xml:space="preserve"> consumers of </w:t>
      </w:r>
      <w:r w:rsidR="006E234E" w:rsidRPr="009B5E36">
        <w:t xml:space="preserve">intense sweetened </w:t>
      </w:r>
      <w:r w:rsidR="008A352D" w:rsidRPr="009B5E36">
        <w:t xml:space="preserve">Chewing gum </w:t>
      </w:r>
      <w:r w:rsidR="000E069E" w:rsidRPr="009B5E36">
        <w:t>and 2004 sweetener survey</w:t>
      </w:r>
      <w:r w:rsidR="00394444">
        <w:t xml:space="preserve"> (consumers only)</w:t>
      </w:r>
      <w:r w:rsidR="00256543" w:rsidRPr="001C7DDD">
        <w:rPr>
          <w:rStyle w:val="FootnoteReference"/>
        </w:rPr>
        <w:footnoteReference w:id="5"/>
      </w:r>
      <w:r w:rsidR="00A67636">
        <w:t xml:space="preserve"> </w:t>
      </w:r>
    </w:p>
    <w:p w14:paraId="6E0D838B" w14:textId="77777777" w:rsidR="002A1327" w:rsidRPr="002A1327" w:rsidRDefault="002A1327" w:rsidP="00D90F8F"/>
    <w:tbl>
      <w:tblPr>
        <w:tblW w:w="12631" w:type="dxa"/>
        <w:tblInd w:w="93" w:type="dxa"/>
        <w:tblLook w:val="04A0" w:firstRow="1" w:lastRow="0" w:firstColumn="1" w:lastColumn="0" w:noHBand="0" w:noVBand="1"/>
      </w:tblPr>
      <w:tblGrid>
        <w:gridCol w:w="1760"/>
        <w:gridCol w:w="959"/>
        <w:gridCol w:w="2300"/>
        <w:gridCol w:w="1942"/>
        <w:gridCol w:w="1843"/>
        <w:gridCol w:w="1843"/>
        <w:gridCol w:w="1984"/>
      </w:tblGrid>
      <w:tr w:rsidR="00F00FBC" w:rsidRPr="006A15AE" w14:paraId="6E0D8391" w14:textId="77777777" w:rsidTr="009B5E36">
        <w:trPr>
          <w:trHeight w:val="833"/>
        </w:trPr>
        <w:tc>
          <w:tcPr>
            <w:tcW w:w="176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6E0D838C" w14:textId="77777777" w:rsidR="00F00FBC" w:rsidRPr="006A15AE" w:rsidRDefault="00F00FBC" w:rsidP="002D484A">
            <w:pPr>
              <w:rPr>
                <w:rFonts w:cs="Arial"/>
                <w:b/>
                <w:bCs/>
                <w:color w:val="000000"/>
                <w:szCs w:val="22"/>
                <w:lang w:eastAsia="en-GB" w:bidi="ar-SA"/>
              </w:rPr>
            </w:pPr>
            <w:r w:rsidRPr="006A15AE">
              <w:rPr>
                <w:rFonts w:cs="Arial"/>
                <w:b/>
                <w:bCs/>
                <w:color w:val="000000"/>
                <w:szCs w:val="22"/>
                <w:lang w:eastAsia="en-GB" w:bidi="ar-SA"/>
              </w:rPr>
              <w:t>Country</w:t>
            </w:r>
          </w:p>
        </w:tc>
        <w:tc>
          <w:tcPr>
            <w:tcW w:w="95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38D" w14:textId="77777777" w:rsidR="00F00FBC" w:rsidRPr="006A15AE" w:rsidRDefault="00F00FBC" w:rsidP="002D484A">
            <w:pPr>
              <w:widowControl/>
              <w:rPr>
                <w:rFonts w:cs="Arial"/>
                <w:b/>
                <w:bCs/>
                <w:color w:val="000000"/>
                <w:szCs w:val="22"/>
                <w:lang w:eastAsia="en-GB" w:bidi="ar-SA"/>
              </w:rPr>
            </w:pPr>
            <w:r w:rsidRPr="006A15AE">
              <w:rPr>
                <w:rFonts w:cs="Arial"/>
                <w:b/>
                <w:bCs/>
                <w:color w:val="000000"/>
                <w:szCs w:val="22"/>
                <w:lang w:eastAsia="en-GB" w:bidi="ar-SA"/>
              </w:rPr>
              <w:t>Survey</w:t>
            </w:r>
          </w:p>
        </w:tc>
        <w:tc>
          <w:tcPr>
            <w:tcW w:w="23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38E" w14:textId="77777777" w:rsidR="00F00FBC" w:rsidRPr="006A15AE" w:rsidRDefault="00F00FBC" w:rsidP="002D484A">
            <w:pPr>
              <w:widowControl/>
              <w:rPr>
                <w:rFonts w:cs="Arial"/>
                <w:b/>
                <w:bCs/>
                <w:color w:val="000000"/>
                <w:szCs w:val="22"/>
                <w:lang w:eastAsia="en-GB" w:bidi="ar-SA"/>
              </w:rPr>
            </w:pPr>
            <w:r w:rsidRPr="006A15AE">
              <w:rPr>
                <w:rFonts w:cs="Arial"/>
                <w:b/>
                <w:bCs/>
                <w:color w:val="000000"/>
                <w:szCs w:val="22"/>
                <w:lang w:eastAsia="en-GB" w:bidi="ar-SA"/>
              </w:rPr>
              <w:t>Age group</w:t>
            </w:r>
          </w:p>
        </w:tc>
        <w:tc>
          <w:tcPr>
            <w:tcW w:w="3785" w:type="dxa"/>
            <w:gridSpan w:val="2"/>
            <w:tcBorders>
              <w:top w:val="single" w:sz="8" w:space="0" w:color="auto"/>
              <w:left w:val="nil"/>
              <w:bottom w:val="single" w:sz="8" w:space="0" w:color="auto"/>
              <w:right w:val="single" w:sz="8" w:space="0" w:color="000000"/>
            </w:tcBorders>
            <w:shd w:val="clear" w:color="auto" w:fill="auto"/>
            <w:hideMark/>
          </w:tcPr>
          <w:p w14:paraId="6E0D838F" w14:textId="77777777" w:rsidR="00F00FBC" w:rsidRPr="006A15AE" w:rsidRDefault="00F00FBC" w:rsidP="002D484A">
            <w:pPr>
              <w:widowControl/>
              <w:rPr>
                <w:rFonts w:cs="Arial"/>
                <w:b/>
                <w:bCs/>
                <w:i/>
                <w:iCs/>
                <w:color w:val="000000"/>
                <w:szCs w:val="22"/>
                <w:lang w:eastAsia="en-GB" w:bidi="ar-SA"/>
              </w:rPr>
            </w:pPr>
            <w:r w:rsidRPr="006A15AE">
              <w:rPr>
                <w:rFonts w:cs="Arial"/>
                <w:b/>
                <w:bCs/>
                <w:i/>
                <w:iCs/>
                <w:color w:val="000000"/>
                <w:szCs w:val="22"/>
                <w:lang w:eastAsia="en-GB" w:bidi="ar-SA"/>
              </w:rPr>
              <w:t>Baseline</w:t>
            </w:r>
            <w:r w:rsidRPr="006A15AE">
              <w:rPr>
                <w:rFonts w:cs="Arial"/>
                <w:b/>
                <w:bCs/>
                <w:color w:val="000000"/>
                <w:szCs w:val="22"/>
                <w:lang w:eastAsia="en-GB" w:bidi="ar-SA"/>
              </w:rPr>
              <w:t xml:space="preserve"> (Including current permissions in the standard 1.3.1)</w:t>
            </w:r>
          </w:p>
        </w:tc>
        <w:tc>
          <w:tcPr>
            <w:tcW w:w="3827" w:type="dxa"/>
            <w:gridSpan w:val="2"/>
            <w:tcBorders>
              <w:top w:val="single" w:sz="8" w:space="0" w:color="auto"/>
              <w:left w:val="nil"/>
              <w:bottom w:val="single" w:sz="8" w:space="0" w:color="auto"/>
              <w:right w:val="single" w:sz="8" w:space="0" w:color="000000"/>
            </w:tcBorders>
            <w:shd w:val="clear" w:color="auto" w:fill="auto"/>
            <w:hideMark/>
          </w:tcPr>
          <w:p w14:paraId="6E0D8390" w14:textId="77777777" w:rsidR="00F00FBC" w:rsidRPr="006A15AE" w:rsidRDefault="00F00FBC" w:rsidP="00DA32F6">
            <w:pPr>
              <w:widowControl/>
              <w:rPr>
                <w:rFonts w:cs="Arial"/>
                <w:b/>
                <w:bCs/>
                <w:i/>
                <w:iCs/>
                <w:color w:val="000000"/>
                <w:szCs w:val="22"/>
                <w:lang w:eastAsia="en-GB" w:bidi="ar-SA"/>
              </w:rPr>
            </w:pPr>
            <w:r w:rsidRPr="006A15AE">
              <w:rPr>
                <w:rFonts w:cs="Arial"/>
                <w:b/>
                <w:bCs/>
                <w:i/>
                <w:iCs/>
                <w:color w:val="000000"/>
                <w:szCs w:val="22"/>
                <w:lang w:eastAsia="en-GB" w:bidi="ar-SA"/>
              </w:rPr>
              <w:t>Scenario</w:t>
            </w:r>
            <w:r w:rsidRPr="006A15AE">
              <w:rPr>
                <w:rFonts w:cs="Arial"/>
                <w:b/>
                <w:bCs/>
                <w:color w:val="000000"/>
                <w:szCs w:val="22"/>
                <w:lang w:eastAsia="en-GB" w:bidi="ar-SA"/>
              </w:rPr>
              <w:t xml:space="preserve"> (baseline + </w:t>
            </w:r>
            <w:r w:rsidR="00DA32F6">
              <w:rPr>
                <w:rFonts w:cs="Arial"/>
                <w:b/>
                <w:bCs/>
                <w:color w:val="000000"/>
                <w:szCs w:val="22"/>
                <w:lang w:eastAsia="en-GB" w:bidi="ar-SA"/>
              </w:rPr>
              <w:t>increased</w:t>
            </w:r>
            <w:r w:rsidR="00DA32F6" w:rsidRPr="006A15AE">
              <w:rPr>
                <w:rFonts w:cs="Arial"/>
                <w:b/>
                <w:bCs/>
                <w:color w:val="000000"/>
                <w:szCs w:val="22"/>
                <w:lang w:eastAsia="en-GB" w:bidi="ar-SA"/>
              </w:rPr>
              <w:t xml:space="preserve"> </w:t>
            </w:r>
            <w:r w:rsidRPr="006A15AE">
              <w:rPr>
                <w:rFonts w:cs="Arial"/>
                <w:b/>
                <w:bCs/>
                <w:color w:val="000000"/>
                <w:szCs w:val="22"/>
                <w:lang w:eastAsia="en-GB" w:bidi="ar-SA"/>
              </w:rPr>
              <w:t>MPL)</w:t>
            </w:r>
          </w:p>
        </w:tc>
      </w:tr>
      <w:tr w:rsidR="00F00FBC" w:rsidRPr="006A15AE" w14:paraId="6E0D8399" w14:textId="77777777" w:rsidTr="009B5E36">
        <w:trPr>
          <w:trHeight w:val="300"/>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392" w14:textId="77777777" w:rsidR="00F00FBC" w:rsidRPr="006A15AE" w:rsidRDefault="00F00FBC" w:rsidP="002D484A">
            <w:pPr>
              <w:widowControl/>
              <w:rPr>
                <w:rFonts w:cs="Arial"/>
                <w:b/>
                <w:bCs/>
                <w:color w:val="000000"/>
                <w:szCs w:val="22"/>
                <w:lang w:eastAsia="en-GB" w:bidi="ar-SA"/>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6E0D8393" w14:textId="77777777" w:rsidR="00F00FBC" w:rsidRPr="006A15AE" w:rsidRDefault="00F00FBC" w:rsidP="002D484A">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14:paraId="6E0D8394" w14:textId="77777777" w:rsidR="00F00FBC" w:rsidRPr="006A15AE" w:rsidRDefault="00F00FBC" w:rsidP="002D484A">
            <w:pPr>
              <w:widowControl/>
              <w:rPr>
                <w:rFonts w:cs="Arial"/>
                <w:b/>
                <w:bCs/>
                <w:color w:val="000000"/>
                <w:szCs w:val="22"/>
                <w:lang w:eastAsia="en-GB" w:bidi="ar-SA"/>
              </w:rPr>
            </w:pPr>
          </w:p>
        </w:tc>
        <w:tc>
          <w:tcPr>
            <w:tcW w:w="1942" w:type="dxa"/>
            <w:tcBorders>
              <w:top w:val="nil"/>
              <w:left w:val="nil"/>
              <w:bottom w:val="nil"/>
              <w:right w:val="single" w:sz="8" w:space="0" w:color="auto"/>
            </w:tcBorders>
            <w:shd w:val="clear" w:color="auto" w:fill="auto"/>
            <w:noWrap/>
            <w:hideMark/>
          </w:tcPr>
          <w:p w14:paraId="6E0D8395" w14:textId="77777777" w:rsidR="00F00FBC" w:rsidRPr="006A15AE" w:rsidRDefault="00F00FBC" w:rsidP="009B5E36">
            <w:pPr>
              <w:widowControl/>
              <w:jc w:val="center"/>
              <w:rPr>
                <w:rFonts w:cs="Arial"/>
                <w:b/>
                <w:bCs/>
                <w:color w:val="000000"/>
                <w:szCs w:val="22"/>
                <w:lang w:eastAsia="en-GB" w:bidi="ar-SA"/>
              </w:rPr>
            </w:pPr>
            <w:r w:rsidRPr="006A15AE">
              <w:rPr>
                <w:rFonts w:cs="Arial"/>
                <w:b/>
                <w:bCs/>
                <w:color w:val="000000"/>
                <w:szCs w:val="22"/>
                <w:lang w:eastAsia="en-GB" w:bidi="ar-SA"/>
              </w:rPr>
              <w:t>Mean</w:t>
            </w:r>
          </w:p>
        </w:tc>
        <w:tc>
          <w:tcPr>
            <w:tcW w:w="1843" w:type="dxa"/>
            <w:tcBorders>
              <w:top w:val="nil"/>
              <w:left w:val="nil"/>
              <w:bottom w:val="nil"/>
              <w:right w:val="single" w:sz="8" w:space="0" w:color="auto"/>
            </w:tcBorders>
            <w:shd w:val="clear" w:color="auto" w:fill="auto"/>
            <w:noWrap/>
            <w:hideMark/>
          </w:tcPr>
          <w:p w14:paraId="6E0D8396" w14:textId="77777777" w:rsidR="00F00FBC" w:rsidRPr="006A15AE" w:rsidRDefault="00F00FBC" w:rsidP="009B5E36">
            <w:pPr>
              <w:widowControl/>
              <w:jc w:val="center"/>
              <w:rPr>
                <w:rFonts w:cs="Arial"/>
                <w:b/>
                <w:bCs/>
                <w:color w:val="000000"/>
                <w:szCs w:val="22"/>
                <w:lang w:eastAsia="en-GB" w:bidi="ar-SA"/>
              </w:rPr>
            </w:pPr>
            <w:r w:rsidRPr="006A15AE">
              <w:rPr>
                <w:rFonts w:cs="Arial"/>
                <w:b/>
                <w:bCs/>
                <w:color w:val="000000"/>
                <w:szCs w:val="22"/>
                <w:lang w:eastAsia="en-GB" w:bidi="ar-SA"/>
              </w:rPr>
              <w:t>90th</w:t>
            </w:r>
          </w:p>
        </w:tc>
        <w:tc>
          <w:tcPr>
            <w:tcW w:w="1843" w:type="dxa"/>
            <w:tcBorders>
              <w:top w:val="nil"/>
              <w:left w:val="nil"/>
              <w:bottom w:val="nil"/>
              <w:right w:val="single" w:sz="8" w:space="0" w:color="auto"/>
            </w:tcBorders>
            <w:shd w:val="clear" w:color="auto" w:fill="auto"/>
            <w:noWrap/>
            <w:hideMark/>
          </w:tcPr>
          <w:p w14:paraId="6E0D8397" w14:textId="77777777" w:rsidR="00F00FBC" w:rsidRPr="006A15AE" w:rsidRDefault="00F00FBC" w:rsidP="009B5E36">
            <w:pPr>
              <w:widowControl/>
              <w:jc w:val="center"/>
              <w:rPr>
                <w:rFonts w:cs="Arial"/>
                <w:b/>
                <w:bCs/>
                <w:color w:val="000000"/>
                <w:szCs w:val="22"/>
                <w:lang w:eastAsia="en-GB" w:bidi="ar-SA"/>
              </w:rPr>
            </w:pPr>
            <w:r w:rsidRPr="006A15AE">
              <w:rPr>
                <w:rFonts w:cs="Arial"/>
                <w:b/>
                <w:bCs/>
                <w:color w:val="000000"/>
                <w:szCs w:val="22"/>
                <w:lang w:eastAsia="en-GB" w:bidi="ar-SA"/>
              </w:rPr>
              <w:t>Mean</w:t>
            </w:r>
          </w:p>
        </w:tc>
        <w:tc>
          <w:tcPr>
            <w:tcW w:w="1984" w:type="dxa"/>
            <w:tcBorders>
              <w:top w:val="nil"/>
              <w:left w:val="nil"/>
              <w:bottom w:val="nil"/>
              <w:right w:val="single" w:sz="8" w:space="0" w:color="auto"/>
            </w:tcBorders>
            <w:shd w:val="clear" w:color="auto" w:fill="auto"/>
            <w:noWrap/>
            <w:hideMark/>
          </w:tcPr>
          <w:p w14:paraId="6E0D8398" w14:textId="77777777" w:rsidR="00F00FBC" w:rsidRPr="006A15AE" w:rsidRDefault="00F00FBC" w:rsidP="009B5E36">
            <w:pPr>
              <w:widowControl/>
              <w:jc w:val="center"/>
              <w:rPr>
                <w:rFonts w:cs="Arial"/>
                <w:b/>
                <w:bCs/>
                <w:color w:val="000000"/>
                <w:szCs w:val="22"/>
                <w:lang w:eastAsia="en-GB" w:bidi="ar-SA"/>
              </w:rPr>
            </w:pPr>
            <w:r w:rsidRPr="006A15AE">
              <w:rPr>
                <w:rFonts w:cs="Arial"/>
                <w:b/>
                <w:bCs/>
                <w:color w:val="000000"/>
                <w:szCs w:val="22"/>
                <w:lang w:eastAsia="en-GB" w:bidi="ar-SA"/>
              </w:rPr>
              <w:t>90th</w:t>
            </w:r>
          </w:p>
        </w:tc>
      </w:tr>
      <w:tr w:rsidR="00F00FBC" w:rsidRPr="006A15AE" w14:paraId="6E0D83A1" w14:textId="77777777" w:rsidTr="00613A06">
        <w:trPr>
          <w:trHeight w:val="315"/>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39A" w14:textId="77777777" w:rsidR="00F00FBC" w:rsidRPr="006A15AE" w:rsidRDefault="00F00FBC" w:rsidP="002D484A">
            <w:pPr>
              <w:widowControl/>
              <w:rPr>
                <w:rFonts w:cs="Arial"/>
                <w:b/>
                <w:bCs/>
                <w:color w:val="000000"/>
                <w:szCs w:val="22"/>
                <w:lang w:eastAsia="en-GB" w:bidi="ar-SA"/>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6E0D839B" w14:textId="77777777" w:rsidR="00F00FBC" w:rsidRPr="006A15AE" w:rsidRDefault="00F00FBC" w:rsidP="002D484A">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14:paraId="6E0D839C" w14:textId="77777777" w:rsidR="00F00FBC" w:rsidRPr="006A15AE" w:rsidRDefault="00F00FBC" w:rsidP="002D484A">
            <w:pPr>
              <w:widowControl/>
              <w:rPr>
                <w:rFonts w:cs="Arial"/>
                <w:b/>
                <w:bCs/>
                <w:color w:val="000000"/>
                <w:szCs w:val="22"/>
                <w:lang w:eastAsia="en-GB" w:bidi="ar-SA"/>
              </w:rPr>
            </w:pPr>
          </w:p>
        </w:tc>
        <w:tc>
          <w:tcPr>
            <w:tcW w:w="1942" w:type="dxa"/>
            <w:tcBorders>
              <w:top w:val="nil"/>
              <w:left w:val="nil"/>
              <w:bottom w:val="single" w:sz="8" w:space="0" w:color="auto"/>
              <w:right w:val="single" w:sz="8" w:space="0" w:color="auto"/>
            </w:tcBorders>
            <w:shd w:val="clear" w:color="auto" w:fill="auto"/>
            <w:noWrap/>
            <w:hideMark/>
          </w:tcPr>
          <w:p w14:paraId="6E0D839D" w14:textId="77777777" w:rsidR="00F00FBC" w:rsidRPr="006A15AE" w:rsidRDefault="00F00FBC" w:rsidP="009B5E36">
            <w:pPr>
              <w:widowControl/>
              <w:jc w:val="center"/>
              <w:rPr>
                <w:rFonts w:cs="Arial"/>
                <w:b/>
                <w:bCs/>
                <w:color w:val="000000"/>
                <w:szCs w:val="22"/>
                <w:lang w:eastAsia="en-GB" w:bidi="ar-SA"/>
              </w:rPr>
            </w:pPr>
            <w:r w:rsidRPr="006A15AE">
              <w:rPr>
                <w:rFonts w:cs="Arial"/>
                <w:b/>
                <w:bCs/>
                <w:color w:val="000000"/>
                <w:szCs w:val="22"/>
                <w:lang w:eastAsia="en-GB" w:bidi="ar-SA"/>
              </w:rPr>
              <w:t>%ADI</w:t>
            </w:r>
          </w:p>
        </w:tc>
        <w:tc>
          <w:tcPr>
            <w:tcW w:w="1843" w:type="dxa"/>
            <w:tcBorders>
              <w:top w:val="nil"/>
              <w:left w:val="nil"/>
              <w:bottom w:val="single" w:sz="8" w:space="0" w:color="auto"/>
              <w:right w:val="single" w:sz="8" w:space="0" w:color="auto"/>
            </w:tcBorders>
            <w:shd w:val="clear" w:color="auto" w:fill="auto"/>
            <w:noWrap/>
            <w:hideMark/>
          </w:tcPr>
          <w:p w14:paraId="6E0D839E" w14:textId="77777777" w:rsidR="00F00FBC" w:rsidRPr="006A15AE" w:rsidRDefault="00F00FBC" w:rsidP="009B5E36">
            <w:pPr>
              <w:widowControl/>
              <w:jc w:val="center"/>
              <w:rPr>
                <w:rFonts w:cs="Arial"/>
                <w:b/>
                <w:bCs/>
                <w:color w:val="000000"/>
                <w:szCs w:val="22"/>
                <w:lang w:eastAsia="en-GB" w:bidi="ar-SA"/>
              </w:rPr>
            </w:pPr>
            <w:r w:rsidRPr="006A15AE">
              <w:rPr>
                <w:rFonts w:cs="Arial"/>
                <w:b/>
                <w:bCs/>
                <w:color w:val="000000"/>
                <w:szCs w:val="22"/>
                <w:lang w:eastAsia="en-GB" w:bidi="ar-SA"/>
              </w:rPr>
              <w:t>%ADI</w:t>
            </w:r>
          </w:p>
        </w:tc>
        <w:tc>
          <w:tcPr>
            <w:tcW w:w="1843" w:type="dxa"/>
            <w:tcBorders>
              <w:top w:val="nil"/>
              <w:left w:val="nil"/>
              <w:bottom w:val="single" w:sz="8" w:space="0" w:color="auto"/>
              <w:right w:val="single" w:sz="8" w:space="0" w:color="auto"/>
            </w:tcBorders>
            <w:shd w:val="clear" w:color="auto" w:fill="auto"/>
            <w:noWrap/>
            <w:hideMark/>
          </w:tcPr>
          <w:p w14:paraId="6E0D839F" w14:textId="77777777" w:rsidR="00F00FBC" w:rsidRPr="006A15AE" w:rsidRDefault="00F00FBC" w:rsidP="009B5E36">
            <w:pPr>
              <w:widowControl/>
              <w:jc w:val="center"/>
              <w:rPr>
                <w:rFonts w:cs="Arial"/>
                <w:b/>
                <w:bCs/>
                <w:color w:val="000000"/>
                <w:szCs w:val="22"/>
                <w:lang w:eastAsia="en-GB" w:bidi="ar-SA"/>
              </w:rPr>
            </w:pPr>
            <w:r w:rsidRPr="006A15AE">
              <w:rPr>
                <w:rFonts w:cs="Arial"/>
                <w:b/>
                <w:bCs/>
                <w:color w:val="000000"/>
                <w:szCs w:val="22"/>
                <w:lang w:eastAsia="en-GB" w:bidi="ar-SA"/>
              </w:rPr>
              <w:t>%ADI</w:t>
            </w:r>
          </w:p>
        </w:tc>
        <w:tc>
          <w:tcPr>
            <w:tcW w:w="1984" w:type="dxa"/>
            <w:tcBorders>
              <w:top w:val="nil"/>
              <w:left w:val="nil"/>
              <w:bottom w:val="single" w:sz="8" w:space="0" w:color="auto"/>
              <w:right w:val="single" w:sz="8" w:space="0" w:color="auto"/>
            </w:tcBorders>
            <w:shd w:val="clear" w:color="auto" w:fill="auto"/>
            <w:noWrap/>
            <w:hideMark/>
          </w:tcPr>
          <w:p w14:paraId="6E0D83A0" w14:textId="77777777" w:rsidR="00F00FBC" w:rsidRPr="006A15AE" w:rsidRDefault="00F00FBC" w:rsidP="009B5E36">
            <w:pPr>
              <w:widowControl/>
              <w:jc w:val="center"/>
              <w:rPr>
                <w:rFonts w:cs="Arial"/>
                <w:b/>
                <w:bCs/>
                <w:color w:val="000000"/>
                <w:szCs w:val="22"/>
                <w:lang w:eastAsia="en-GB" w:bidi="ar-SA"/>
              </w:rPr>
            </w:pPr>
            <w:r w:rsidRPr="006A15AE">
              <w:rPr>
                <w:rFonts w:cs="Arial"/>
                <w:b/>
                <w:bCs/>
                <w:color w:val="000000"/>
                <w:szCs w:val="22"/>
                <w:lang w:eastAsia="en-GB" w:bidi="ar-SA"/>
              </w:rPr>
              <w:t>%ADI</w:t>
            </w:r>
          </w:p>
        </w:tc>
      </w:tr>
      <w:tr w:rsidR="009B5E36" w:rsidRPr="006A15AE" w14:paraId="6E0D83A9" w14:textId="77777777" w:rsidTr="00613A06">
        <w:trPr>
          <w:trHeight w:val="315"/>
        </w:trPr>
        <w:tc>
          <w:tcPr>
            <w:tcW w:w="1760" w:type="dxa"/>
            <w:tcBorders>
              <w:top w:val="single" w:sz="8" w:space="0" w:color="000000"/>
              <w:left w:val="single" w:sz="8" w:space="0" w:color="auto"/>
              <w:bottom w:val="single" w:sz="8" w:space="0" w:color="auto"/>
              <w:right w:val="single" w:sz="8" w:space="0" w:color="auto"/>
            </w:tcBorders>
            <w:shd w:val="clear" w:color="auto" w:fill="auto"/>
            <w:noWrap/>
            <w:vAlign w:val="center"/>
            <w:hideMark/>
          </w:tcPr>
          <w:p w14:paraId="6E0D83A2" w14:textId="77777777" w:rsidR="009B5E36" w:rsidRPr="006A15AE" w:rsidRDefault="009B5E36" w:rsidP="009B5E36">
            <w:pPr>
              <w:widowControl/>
              <w:rPr>
                <w:rFonts w:ascii="Calibri" w:hAnsi="Calibri"/>
                <w:color w:val="000000"/>
                <w:szCs w:val="22"/>
                <w:lang w:eastAsia="en-GB" w:bidi="ar-SA"/>
              </w:rPr>
            </w:pPr>
            <w:r w:rsidRPr="006A15AE">
              <w:rPr>
                <w:rFonts w:ascii="Calibri" w:hAnsi="Calibri"/>
                <w:color w:val="000000"/>
                <w:szCs w:val="22"/>
                <w:lang w:eastAsia="en-GB" w:bidi="ar-SA"/>
              </w:rPr>
              <w:t>Australia</w:t>
            </w:r>
          </w:p>
        </w:tc>
        <w:tc>
          <w:tcPr>
            <w:tcW w:w="959" w:type="dxa"/>
            <w:tcBorders>
              <w:top w:val="single" w:sz="8" w:space="0" w:color="000000"/>
              <w:left w:val="nil"/>
              <w:bottom w:val="single" w:sz="8" w:space="0" w:color="auto"/>
              <w:right w:val="single" w:sz="8" w:space="0" w:color="auto"/>
            </w:tcBorders>
            <w:shd w:val="clear" w:color="auto" w:fill="auto"/>
            <w:noWrap/>
            <w:hideMark/>
          </w:tcPr>
          <w:p w14:paraId="6E0D83A3" w14:textId="77777777" w:rsidR="009B5E36" w:rsidRPr="006A15AE" w:rsidRDefault="009B5E36" w:rsidP="009B5E36">
            <w:pPr>
              <w:widowControl/>
              <w:rPr>
                <w:rFonts w:ascii="Calibri" w:hAnsi="Calibri"/>
                <w:color w:val="000000"/>
                <w:szCs w:val="22"/>
                <w:lang w:eastAsia="en-GB" w:bidi="ar-SA"/>
              </w:rPr>
            </w:pPr>
            <w:r w:rsidRPr="006A15AE">
              <w:rPr>
                <w:rFonts w:ascii="Calibri" w:hAnsi="Calibri"/>
                <w:color w:val="000000"/>
                <w:szCs w:val="22"/>
                <w:lang w:eastAsia="en-GB" w:bidi="ar-SA"/>
              </w:rPr>
              <w:t>2011</w:t>
            </w:r>
          </w:p>
        </w:tc>
        <w:tc>
          <w:tcPr>
            <w:tcW w:w="2300" w:type="dxa"/>
            <w:tcBorders>
              <w:top w:val="nil"/>
              <w:left w:val="nil"/>
              <w:bottom w:val="single" w:sz="8" w:space="0" w:color="auto"/>
              <w:right w:val="single" w:sz="8" w:space="0" w:color="auto"/>
            </w:tcBorders>
            <w:shd w:val="clear" w:color="auto" w:fill="auto"/>
            <w:noWrap/>
            <w:vAlign w:val="center"/>
            <w:hideMark/>
          </w:tcPr>
          <w:p w14:paraId="6E0D83A4" w14:textId="77777777" w:rsidR="009B5E36" w:rsidRPr="006A15AE" w:rsidRDefault="006741A6" w:rsidP="002D484A">
            <w:pPr>
              <w:widowControl/>
              <w:rPr>
                <w:rFonts w:ascii="Calibri" w:hAnsi="Calibri"/>
                <w:color w:val="000000"/>
                <w:szCs w:val="22"/>
                <w:lang w:eastAsia="en-GB" w:bidi="ar-SA"/>
              </w:rPr>
            </w:pPr>
            <w:r>
              <w:rPr>
                <w:rFonts w:ascii="Calibri" w:hAnsi="Calibri"/>
                <w:color w:val="000000"/>
                <w:szCs w:val="22"/>
                <w:lang w:eastAsia="en-GB" w:bidi="ar-SA"/>
              </w:rPr>
              <w:t>1</w:t>
            </w:r>
            <w:r w:rsidR="009B5E36" w:rsidRPr="006A15AE">
              <w:rPr>
                <w:rFonts w:ascii="Calibri" w:hAnsi="Calibri"/>
                <w:color w:val="000000"/>
                <w:szCs w:val="22"/>
                <w:lang w:eastAsia="en-GB" w:bidi="ar-SA"/>
              </w:rPr>
              <w:t>2 years and above</w:t>
            </w:r>
          </w:p>
        </w:tc>
        <w:tc>
          <w:tcPr>
            <w:tcW w:w="1942" w:type="dxa"/>
            <w:tcBorders>
              <w:top w:val="nil"/>
              <w:left w:val="nil"/>
              <w:bottom w:val="single" w:sz="8" w:space="0" w:color="auto"/>
              <w:right w:val="single" w:sz="8" w:space="0" w:color="auto"/>
            </w:tcBorders>
            <w:shd w:val="clear" w:color="auto" w:fill="auto"/>
            <w:noWrap/>
            <w:vAlign w:val="center"/>
            <w:hideMark/>
          </w:tcPr>
          <w:p w14:paraId="6E0D83A5" w14:textId="77777777" w:rsidR="009B5E36" w:rsidRPr="006A15AE" w:rsidRDefault="009B5E36" w:rsidP="002D484A">
            <w:pPr>
              <w:widowControl/>
              <w:jc w:val="center"/>
              <w:rPr>
                <w:rFonts w:ascii="Calibri" w:hAnsi="Calibri"/>
                <w:color w:val="000000"/>
                <w:szCs w:val="22"/>
                <w:lang w:eastAsia="en-GB" w:bidi="ar-SA"/>
              </w:rPr>
            </w:pPr>
            <w:r>
              <w:rPr>
                <w:rFonts w:ascii="Calibri" w:hAnsi="Calibri"/>
                <w:color w:val="000000"/>
                <w:szCs w:val="22"/>
              </w:rPr>
              <w:t>5</w:t>
            </w:r>
          </w:p>
        </w:tc>
        <w:tc>
          <w:tcPr>
            <w:tcW w:w="1843" w:type="dxa"/>
            <w:tcBorders>
              <w:top w:val="nil"/>
              <w:left w:val="nil"/>
              <w:bottom w:val="single" w:sz="8" w:space="0" w:color="auto"/>
              <w:right w:val="single" w:sz="8" w:space="0" w:color="auto"/>
            </w:tcBorders>
            <w:shd w:val="clear" w:color="auto" w:fill="auto"/>
            <w:noWrap/>
            <w:vAlign w:val="center"/>
            <w:hideMark/>
          </w:tcPr>
          <w:p w14:paraId="6E0D83A6" w14:textId="77777777" w:rsidR="009B5E36" w:rsidRPr="006A15AE" w:rsidRDefault="009B5E36" w:rsidP="002D484A">
            <w:pPr>
              <w:widowControl/>
              <w:jc w:val="center"/>
              <w:rPr>
                <w:rFonts w:ascii="Calibri" w:hAnsi="Calibri"/>
                <w:color w:val="000000"/>
                <w:szCs w:val="22"/>
                <w:lang w:eastAsia="en-GB" w:bidi="ar-SA"/>
              </w:rPr>
            </w:pPr>
            <w:r>
              <w:rPr>
                <w:rFonts w:ascii="Calibri" w:hAnsi="Calibri"/>
                <w:color w:val="000000"/>
                <w:szCs w:val="22"/>
              </w:rPr>
              <w:t>10</w:t>
            </w:r>
          </w:p>
        </w:tc>
        <w:tc>
          <w:tcPr>
            <w:tcW w:w="1843" w:type="dxa"/>
            <w:tcBorders>
              <w:top w:val="nil"/>
              <w:left w:val="nil"/>
              <w:bottom w:val="single" w:sz="8" w:space="0" w:color="auto"/>
              <w:right w:val="single" w:sz="8" w:space="0" w:color="auto"/>
            </w:tcBorders>
            <w:shd w:val="clear" w:color="auto" w:fill="auto"/>
            <w:noWrap/>
            <w:vAlign w:val="center"/>
            <w:hideMark/>
          </w:tcPr>
          <w:p w14:paraId="6E0D83A7" w14:textId="77777777" w:rsidR="009B5E36" w:rsidRPr="006A15AE" w:rsidRDefault="009B5E36" w:rsidP="002D484A">
            <w:pPr>
              <w:widowControl/>
              <w:jc w:val="center"/>
              <w:rPr>
                <w:rFonts w:ascii="Calibri" w:hAnsi="Calibri"/>
                <w:color w:val="000000"/>
                <w:szCs w:val="22"/>
                <w:lang w:eastAsia="en-GB" w:bidi="ar-SA"/>
              </w:rPr>
            </w:pPr>
            <w:r>
              <w:rPr>
                <w:rFonts w:ascii="Calibri" w:hAnsi="Calibri"/>
                <w:color w:val="000000"/>
                <w:szCs w:val="22"/>
              </w:rPr>
              <w:t>7</w:t>
            </w:r>
          </w:p>
        </w:tc>
        <w:tc>
          <w:tcPr>
            <w:tcW w:w="1984" w:type="dxa"/>
            <w:tcBorders>
              <w:top w:val="nil"/>
              <w:left w:val="nil"/>
              <w:bottom w:val="single" w:sz="8" w:space="0" w:color="auto"/>
              <w:right w:val="single" w:sz="8" w:space="0" w:color="auto"/>
            </w:tcBorders>
            <w:shd w:val="clear" w:color="auto" w:fill="auto"/>
            <w:noWrap/>
            <w:vAlign w:val="center"/>
            <w:hideMark/>
          </w:tcPr>
          <w:p w14:paraId="6E0D83A8" w14:textId="77777777" w:rsidR="009B5E36" w:rsidRPr="006A15AE" w:rsidRDefault="009B5E36" w:rsidP="002D484A">
            <w:pPr>
              <w:widowControl/>
              <w:jc w:val="center"/>
              <w:rPr>
                <w:rFonts w:ascii="Calibri" w:hAnsi="Calibri"/>
                <w:color w:val="000000"/>
                <w:szCs w:val="22"/>
                <w:lang w:eastAsia="en-GB" w:bidi="ar-SA"/>
              </w:rPr>
            </w:pPr>
            <w:r>
              <w:rPr>
                <w:rFonts w:ascii="Calibri" w:hAnsi="Calibri"/>
                <w:color w:val="000000"/>
                <w:szCs w:val="22"/>
              </w:rPr>
              <w:t>15</w:t>
            </w:r>
          </w:p>
        </w:tc>
      </w:tr>
      <w:tr w:rsidR="009B5E36" w:rsidRPr="006A15AE" w14:paraId="6E0D83B1" w14:textId="77777777" w:rsidTr="00613A0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D83AA" w14:textId="77777777" w:rsidR="009B5E36" w:rsidRPr="006A15AE" w:rsidRDefault="009B5E36" w:rsidP="009B5E36">
            <w:pPr>
              <w:widowControl/>
              <w:rPr>
                <w:rFonts w:ascii="Calibri" w:hAnsi="Calibri"/>
                <w:color w:val="000000"/>
                <w:szCs w:val="22"/>
                <w:lang w:eastAsia="en-GB" w:bidi="ar-SA"/>
              </w:rPr>
            </w:pPr>
            <w:r w:rsidRPr="006A15AE">
              <w:rPr>
                <w:rFonts w:ascii="Calibri" w:hAnsi="Calibri"/>
                <w:color w:val="000000"/>
                <w:szCs w:val="22"/>
                <w:lang w:eastAsia="en-GB" w:bidi="ar-SA"/>
              </w:rPr>
              <w:t>New Zealand</w:t>
            </w:r>
          </w:p>
        </w:tc>
        <w:tc>
          <w:tcPr>
            <w:tcW w:w="959" w:type="dxa"/>
            <w:tcBorders>
              <w:top w:val="single" w:sz="8" w:space="0" w:color="auto"/>
              <w:left w:val="nil"/>
              <w:bottom w:val="single" w:sz="8" w:space="0" w:color="auto"/>
              <w:right w:val="single" w:sz="8" w:space="0" w:color="auto"/>
            </w:tcBorders>
            <w:shd w:val="clear" w:color="auto" w:fill="auto"/>
            <w:noWrap/>
            <w:hideMark/>
          </w:tcPr>
          <w:p w14:paraId="6E0D83AB" w14:textId="77777777" w:rsidR="009B5E36" w:rsidRPr="006A15AE" w:rsidRDefault="009B5E36" w:rsidP="009B5E36">
            <w:pPr>
              <w:widowControl/>
              <w:rPr>
                <w:rFonts w:ascii="Calibri" w:hAnsi="Calibri"/>
                <w:color w:val="000000"/>
                <w:szCs w:val="22"/>
                <w:lang w:eastAsia="en-GB" w:bidi="ar-SA"/>
              </w:rPr>
            </w:pPr>
            <w:r w:rsidRPr="006A15AE">
              <w:rPr>
                <w:rFonts w:ascii="Calibri" w:hAnsi="Calibri"/>
                <w:color w:val="000000"/>
                <w:szCs w:val="22"/>
                <w:lang w:eastAsia="en-GB" w:bidi="ar-SA"/>
              </w:rPr>
              <w:t>2008</w:t>
            </w:r>
          </w:p>
        </w:tc>
        <w:tc>
          <w:tcPr>
            <w:tcW w:w="2300" w:type="dxa"/>
            <w:tcBorders>
              <w:top w:val="nil"/>
              <w:left w:val="nil"/>
              <w:bottom w:val="single" w:sz="8" w:space="0" w:color="auto"/>
              <w:right w:val="single" w:sz="8" w:space="0" w:color="auto"/>
            </w:tcBorders>
            <w:shd w:val="clear" w:color="auto" w:fill="auto"/>
            <w:noWrap/>
            <w:vAlign w:val="center"/>
            <w:hideMark/>
          </w:tcPr>
          <w:p w14:paraId="6E0D83AC" w14:textId="77777777" w:rsidR="009B5E36" w:rsidRPr="006A15AE" w:rsidRDefault="009B5E36" w:rsidP="002D484A">
            <w:pPr>
              <w:widowControl/>
              <w:rPr>
                <w:rFonts w:ascii="Calibri" w:hAnsi="Calibri"/>
                <w:color w:val="000000"/>
                <w:szCs w:val="22"/>
                <w:lang w:eastAsia="en-GB" w:bidi="ar-SA"/>
              </w:rPr>
            </w:pPr>
            <w:r w:rsidRPr="006A15AE">
              <w:rPr>
                <w:rFonts w:ascii="Calibri" w:hAnsi="Calibri"/>
                <w:color w:val="000000"/>
                <w:szCs w:val="22"/>
                <w:lang w:eastAsia="en-GB" w:bidi="ar-SA"/>
              </w:rPr>
              <w:t>15 years and above</w:t>
            </w:r>
          </w:p>
        </w:tc>
        <w:tc>
          <w:tcPr>
            <w:tcW w:w="1942" w:type="dxa"/>
            <w:tcBorders>
              <w:top w:val="nil"/>
              <w:left w:val="nil"/>
              <w:bottom w:val="single" w:sz="8" w:space="0" w:color="auto"/>
              <w:right w:val="single" w:sz="8" w:space="0" w:color="auto"/>
            </w:tcBorders>
            <w:shd w:val="clear" w:color="auto" w:fill="auto"/>
            <w:noWrap/>
            <w:vAlign w:val="center"/>
            <w:hideMark/>
          </w:tcPr>
          <w:p w14:paraId="6E0D83AD" w14:textId="77777777" w:rsidR="009B5E36" w:rsidRPr="006A15AE" w:rsidRDefault="009B5E36" w:rsidP="002D484A">
            <w:pPr>
              <w:widowControl/>
              <w:jc w:val="center"/>
              <w:rPr>
                <w:rFonts w:ascii="Calibri" w:hAnsi="Calibri"/>
                <w:color w:val="000000"/>
                <w:szCs w:val="22"/>
                <w:lang w:eastAsia="en-GB" w:bidi="ar-SA"/>
              </w:rPr>
            </w:pPr>
            <w:r>
              <w:rPr>
                <w:rFonts w:ascii="Calibri" w:hAnsi="Calibri"/>
                <w:color w:val="000000"/>
                <w:szCs w:val="22"/>
              </w:rPr>
              <w:t>4</w:t>
            </w:r>
          </w:p>
        </w:tc>
        <w:tc>
          <w:tcPr>
            <w:tcW w:w="1843" w:type="dxa"/>
            <w:tcBorders>
              <w:top w:val="nil"/>
              <w:left w:val="nil"/>
              <w:bottom w:val="single" w:sz="8" w:space="0" w:color="auto"/>
              <w:right w:val="single" w:sz="8" w:space="0" w:color="auto"/>
            </w:tcBorders>
            <w:shd w:val="clear" w:color="auto" w:fill="auto"/>
            <w:noWrap/>
            <w:vAlign w:val="center"/>
            <w:hideMark/>
          </w:tcPr>
          <w:p w14:paraId="6E0D83AE" w14:textId="77777777" w:rsidR="009B5E36" w:rsidRPr="006A15AE" w:rsidRDefault="009B5E36" w:rsidP="002D484A">
            <w:pPr>
              <w:widowControl/>
              <w:jc w:val="center"/>
              <w:rPr>
                <w:rFonts w:ascii="Calibri" w:hAnsi="Calibri"/>
                <w:color w:val="000000"/>
                <w:szCs w:val="22"/>
                <w:lang w:eastAsia="en-GB" w:bidi="ar-SA"/>
              </w:rPr>
            </w:pPr>
            <w:r>
              <w:rPr>
                <w:rFonts w:ascii="Calibri" w:hAnsi="Calibri"/>
                <w:color w:val="000000"/>
                <w:szCs w:val="22"/>
              </w:rPr>
              <w:t>7</w:t>
            </w:r>
          </w:p>
        </w:tc>
        <w:tc>
          <w:tcPr>
            <w:tcW w:w="1843" w:type="dxa"/>
            <w:tcBorders>
              <w:top w:val="nil"/>
              <w:left w:val="nil"/>
              <w:bottom w:val="single" w:sz="8" w:space="0" w:color="auto"/>
              <w:right w:val="single" w:sz="8" w:space="0" w:color="auto"/>
            </w:tcBorders>
            <w:shd w:val="clear" w:color="auto" w:fill="auto"/>
            <w:noWrap/>
            <w:vAlign w:val="center"/>
            <w:hideMark/>
          </w:tcPr>
          <w:p w14:paraId="6E0D83AF" w14:textId="77777777" w:rsidR="009B5E36" w:rsidRPr="006A15AE" w:rsidRDefault="009B5E36" w:rsidP="002D484A">
            <w:pPr>
              <w:widowControl/>
              <w:jc w:val="center"/>
              <w:rPr>
                <w:rFonts w:ascii="Calibri" w:hAnsi="Calibri"/>
                <w:color w:val="000000"/>
                <w:szCs w:val="22"/>
                <w:lang w:eastAsia="en-GB" w:bidi="ar-SA"/>
              </w:rPr>
            </w:pPr>
            <w:r>
              <w:rPr>
                <w:rFonts w:ascii="Calibri" w:hAnsi="Calibri"/>
                <w:color w:val="000000"/>
                <w:szCs w:val="22"/>
              </w:rPr>
              <w:t>5</w:t>
            </w:r>
          </w:p>
        </w:tc>
        <w:tc>
          <w:tcPr>
            <w:tcW w:w="1984" w:type="dxa"/>
            <w:tcBorders>
              <w:top w:val="nil"/>
              <w:left w:val="nil"/>
              <w:bottom w:val="single" w:sz="8" w:space="0" w:color="auto"/>
              <w:right w:val="single" w:sz="8" w:space="0" w:color="auto"/>
            </w:tcBorders>
            <w:shd w:val="clear" w:color="auto" w:fill="auto"/>
            <w:noWrap/>
            <w:vAlign w:val="center"/>
            <w:hideMark/>
          </w:tcPr>
          <w:p w14:paraId="6E0D83B0" w14:textId="77777777" w:rsidR="009B5E36" w:rsidRPr="006A15AE" w:rsidRDefault="009B5E36" w:rsidP="002D484A">
            <w:pPr>
              <w:widowControl/>
              <w:jc w:val="center"/>
              <w:rPr>
                <w:rFonts w:ascii="Calibri" w:hAnsi="Calibri"/>
                <w:color w:val="000000"/>
                <w:szCs w:val="22"/>
                <w:lang w:eastAsia="en-GB" w:bidi="ar-SA"/>
              </w:rPr>
            </w:pPr>
            <w:r>
              <w:rPr>
                <w:rFonts w:ascii="Calibri" w:hAnsi="Calibri"/>
                <w:color w:val="000000"/>
                <w:szCs w:val="22"/>
              </w:rPr>
              <w:t>9</w:t>
            </w:r>
          </w:p>
        </w:tc>
      </w:tr>
    </w:tbl>
    <w:p w14:paraId="6E0D83B2" w14:textId="77777777" w:rsidR="00F00FBC" w:rsidRDefault="00F00FBC" w:rsidP="00F00FBC">
      <w:pPr>
        <w:rPr>
          <w:highlight w:val="lightGray"/>
        </w:rPr>
      </w:pPr>
    </w:p>
    <w:p w14:paraId="6E0D83B3" w14:textId="77777777" w:rsidR="00256543" w:rsidRDefault="00256543" w:rsidP="00256543">
      <w:pPr>
        <w:rPr>
          <w:highlight w:val="lightGray"/>
        </w:rPr>
      </w:pPr>
    </w:p>
    <w:sectPr w:rsidR="00256543" w:rsidSect="00F472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D83C1" w14:textId="77777777" w:rsidR="009C00A0" w:rsidRDefault="009C00A0" w:rsidP="00F223EF">
      <w:r>
        <w:separator/>
      </w:r>
    </w:p>
  </w:endnote>
  <w:endnote w:type="continuationSeparator" w:id="0">
    <w:p w14:paraId="6E0D83C2" w14:textId="77777777" w:rsidR="009C00A0" w:rsidRDefault="009C00A0" w:rsidP="00F223EF">
      <w:r>
        <w:continuationSeparator/>
      </w:r>
    </w:p>
  </w:endnote>
  <w:endnote w:type="continuationNotice" w:id="1">
    <w:p w14:paraId="6E0D83C3" w14:textId="77777777" w:rsidR="009C00A0" w:rsidRDefault="009C0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VKFAZ+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83C5" w14:textId="77777777" w:rsidR="00407CE4" w:rsidRDefault="00407CE4" w:rsidP="001713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D83C6" w14:textId="77777777" w:rsidR="00407CE4" w:rsidRDefault="00407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83C7" w14:textId="77777777" w:rsidR="00407CE4" w:rsidRDefault="00407CE4" w:rsidP="001713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7B3">
      <w:rPr>
        <w:rStyle w:val="PageNumber"/>
        <w:noProof/>
      </w:rPr>
      <w:t>i</w:t>
    </w:r>
    <w:r>
      <w:rPr>
        <w:rStyle w:val="PageNumber"/>
      </w:rPr>
      <w:fldChar w:fldCharType="end"/>
    </w:r>
  </w:p>
  <w:p w14:paraId="6E0D83C8" w14:textId="77777777" w:rsidR="00407CE4" w:rsidRDefault="00407CE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252814"/>
      <w:docPartObj>
        <w:docPartGallery w:val="Page Numbers (Bottom of Page)"/>
        <w:docPartUnique/>
      </w:docPartObj>
    </w:sdtPr>
    <w:sdtEndPr>
      <w:rPr>
        <w:noProof/>
      </w:rPr>
    </w:sdtEndPr>
    <w:sdtContent>
      <w:p w14:paraId="6E0D83CA" w14:textId="595674CA" w:rsidR="00407CE4" w:rsidRPr="001035B2" w:rsidRDefault="001035B2" w:rsidP="001035B2">
        <w:pPr>
          <w:pStyle w:val="Footer"/>
          <w:jc w:val="center"/>
        </w:pPr>
        <w:r>
          <w:fldChar w:fldCharType="begin"/>
        </w:r>
        <w:r>
          <w:instrText xml:space="preserve"> PAGE   \* MERGEFORMAT </w:instrText>
        </w:r>
        <w:r>
          <w:fldChar w:fldCharType="separate"/>
        </w:r>
        <w:r w:rsidR="00FB77B3">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D83BE" w14:textId="77777777" w:rsidR="009C00A0" w:rsidRDefault="009C00A0" w:rsidP="00F223EF">
      <w:r>
        <w:separator/>
      </w:r>
    </w:p>
  </w:footnote>
  <w:footnote w:type="continuationSeparator" w:id="0">
    <w:p w14:paraId="6E0D83BF" w14:textId="77777777" w:rsidR="009C00A0" w:rsidRDefault="009C00A0" w:rsidP="00F223EF">
      <w:r>
        <w:continuationSeparator/>
      </w:r>
    </w:p>
  </w:footnote>
  <w:footnote w:type="continuationNotice" w:id="1">
    <w:p w14:paraId="6E0D83C0" w14:textId="77777777" w:rsidR="009C00A0" w:rsidRDefault="009C00A0"/>
  </w:footnote>
  <w:footnote w:id="2">
    <w:p w14:paraId="6E0D83CB" w14:textId="77777777" w:rsidR="00407CE4" w:rsidRPr="005D0961" w:rsidRDefault="00407CE4">
      <w:pPr>
        <w:pStyle w:val="FootnoteText"/>
        <w:rPr>
          <w:lang w:val="en-AU"/>
        </w:rPr>
      </w:pPr>
      <w:r w:rsidRPr="00D90F8F">
        <w:rPr>
          <w:rStyle w:val="FootnoteReference"/>
          <w:sz w:val="18"/>
        </w:rPr>
        <w:footnoteRef/>
      </w:r>
      <w:r w:rsidRPr="00D90F8F">
        <w:rPr>
          <w:sz w:val="18"/>
        </w:rPr>
        <w:t xml:space="preserve"> </w:t>
      </w:r>
      <w:hyperlink r:id="rId1" w:history="1">
        <w:r w:rsidRPr="00D90F8F">
          <w:rPr>
            <w:rStyle w:val="Hyperlink"/>
            <w:sz w:val="18"/>
          </w:rPr>
          <w:t>http://www.codexalimentarius.net/gsfaonline/additives/details.html?id=104</w:t>
        </w:r>
      </w:hyperlink>
    </w:p>
  </w:footnote>
  <w:footnote w:id="3">
    <w:p w14:paraId="6E0D83CC" w14:textId="77777777" w:rsidR="00407CE4" w:rsidRPr="009E3B0A" w:rsidRDefault="00407CE4" w:rsidP="00D023E2">
      <w:pPr>
        <w:pStyle w:val="FootnoteText"/>
        <w:rPr>
          <w:sz w:val="18"/>
          <w:szCs w:val="18"/>
          <w:lang w:val="en-AU"/>
        </w:rPr>
      </w:pPr>
      <w:r w:rsidRPr="009E3B0A">
        <w:rPr>
          <w:rStyle w:val="FootnoteReference"/>
          <w:sz w:val="18"/>
          <w:szCs w:val="18"/>
        </w:rPr>
        <w:footnoteRef/>
      </w:r>
      <w:r w:rsidRPr="009E3B0A">
        <w:rPr>
          <w:sz w:val="18"/>
          <w:szCs w:val="18"/>
        </w:rPr>
        <w:t xml:space="preserve"> </w:t>
      </w:r>
      <w:r w:rsidRPr="009E3B0A">
        <w:rPr>
          <w:sz w:val="18"/>
          <w:szCs w:val="18"/>
          <w:lang w:val="en-AU"/>
        </w:rPr>
        <w:t xml:space="preserve">A consumer is a respondent from the national nutrition survey who </w:t>
      </w:r>
      <w:r>
        <w:rPr>
          <w:sz w:val="18"/>
          <w:szCs w:val="18"/>
          <w:lang w:val="en-AU"/>
        </w:rPr>
        <w:t xml:space="preserve">reported </w:t>
      </w:r>
      <w:r w:rsidRPr="009E3B0A">
        <w:rPr>
          <w:sz w:val="18"/>
          <w:szCs w:val="18"/>
          <w:lang w:val="en-AU"/>
        </w:rPr>
        <w:t>consum</w:t>
      </w:r>
      <w:r>
        <w:rPr>
          <w:sz w:val="18"/>
          <w:szCs w:val="18"/>
          <w:lang w:val="en-AU"/>
        </w:rPr>
        <w:t>ing</w:t>
      </w:r>
      <w:r w:rsidRPr="009E3B0A">
        <w:rPr>
          <w:sz w:val="18"/>
          <w:szCs w:val="18"/>
          <w:lang w:val="en-AU"/>
        </w:rPr>
        <w:t xml:space="preserve"> a food(s) that </w:t>
      </w:r>
      <w:r>
        <w:rPr>
          <w:sz w:val="18"/>
          <w:szCs w:val="18"/>
          <w:lang w:val="en-AU"/>
        </w:rPr>
        <w:t xml:space="preserve">has permissions for adding </w:t>
      </w:r>
      <w:r w:rsidRPr="009E3B0A">
        <w:rPr>
          <w:rFonts w:cs="Arial"/>
          <w:sz w:val="18"/>
          <w:szCs w:val="18"/>
        </w:rPr>
        <w:t xml:space="preserve">Ace </w:t>
      </w:r>
      <w:r w:rsidRPr="009E3B0A">
        <w:rPr>
          <w:rFonts w:cs="Arial"/>
          <w:smallCaps/>
          <w:sz w:val="18"/>
          <w:szCs w:val="18"/>
        </w:rPr>
        <w:t>K</w:t>
      </w:r>
      <w:r w:rsidRPr="009E3B0A">
        <w:rPr>
          <w:sz w:val="18"/>
          <w:szCs w:val="18"/>
          <w:lang w:val="en-AU"/>
        </w:rPr>
        <w:t>.</w:t>
      </w:r>
    </w:p>
  </w:footnote>
  <w:footnote w:id="4">
    <w:p w14:paraId="6E0D83CD" w14:textId="77777777" w:rsidR="00407CE4" w:rsidRPr="009B72B4" w:rsidRDefault="00407CE4" w:rsidP="009E3B0A">
      <w:pPr>
        <w:pStyle w:val="FootnoteText"/>
        <w:rPr>
          <w:sz w:val="18"/>
          <w:szCs w:val="18"/>
          <w:lang w:val="en-AU"/>
        </w:rPr>
      </w:pPr>
      <w:r w:rsidRPr="009E3B0A">
        <w:rPr>
          <w:rStyle w:val="FootnoteReference"/>
          <w:sz w:val="18"/>
          <w:szCs w:val="18"/>
        </w:rPr>
        <w:footnoteRef/>
      </w:r>
      <w:r w:rsidRPr="009E3B0A">
        <w:rPr>
          <w:sz w:val="18"/>
          <w:szCs w:val="18"/>
        </w:rPr>
        <w:t xml:space="preserve"> Australian children aged 2-6 years were not consumers of both sugar sweetened chewing gum and intensely sweetened chewing gum</w:t>
      </w:r>
      <w:r>
        <w:rPr>
          <w:sz w:val="18"/>
          <w:szCs w:val="18"/>
        </w:rPr>
        <w:t xml:space="preserve">. </w:t>
      </w:r>
      <w:r w:rsidRPr="009B72B4">
        <w:rPr>
          <w:sz w:val="18"/>
          <w:szCs w:val="18"/>
        </w:rPr>
        <w:t xml:space="preserve">Also </w:t>
      </w:r>
      <w:r w:rsidRPr="00613A06">
        <w:rPr>
          <w:sz w:val="18"/>
          <w:szCs w:val="18"/>
        </w:rPr>
        <w:t>estimated exposures for 12 years and above were same as the 2 years above as there were only three consumers for intense sweetened chewing gum</w:t>
      </w:r>
      <w:r w:rsidRPr="009B72B4">
        <w:rPr>
          <w:sz w:val="18"/>
          <w:szCs w:val="18"/>
        </w:rPr>
        <w:t xml:space="preserve"> </w:t>
      </w:r>
      <w:r>
        <w:rPr>
          <w:sz w:val="18"/>
          <w:szCs w:val="18"/>
        </w:rPr>
        <w:t>between 7-11 years in Australia</w:t>
      </w:r>
      <w:r w:rsidRPr="009B72B4">
        <w:rPr>
          <w:sz w:val="18"/>
          <w:szCs w:val="18"/>
        </w:rPr>
        <w:t>.</w:t>
      </w:r>
    </w:p>
  </w:footnote>
  <w:footnote w:id="5">
    <w:p w14:paraId="6E0D83CE" w14:textId="77777777" w:rsidR="00407CE4" w:rsidRPr="009E3B0A" w:rsidRDefault="00407CE4" w:rsidP="00256543">
      <w:pPr>
        <w:pStyle w:val="FootnoteText"/>
        <w:rPr>
          <w:sz w:val="18"/>
          <w:szCs w:val="18"/>
          <w:lang w:val="en-AU"/>
        </w:rPr>
      </w:pPr>
      <w:r w:rsidRPr="009E3B0A">
        <w:rPr>
          <w:rStyle w:val="FootnoteReference"/>
          <w:sz w:val="18"/>
          <w:szCs w:val="18"/>
        </w:rPr>
        <w:footnoteRef/>
      </w:r>
      <w:r w:rsidRPr="009E3B0A">
        <w:rPr>
          <w:sz w:val="18"/>
          <w:szCs w:val="18"/>
        </w:rPr>
        <w:t xml:space="preserve"> </w:t>
      </w:r>
      <w:r w:rsidRPr="00256543">
        <w:rPr>
          <w:sz w:val="18"/>
          <w:szCs w:val="18"/>
        </w:rPr>
        <w:t xml:space="preserve">Combined estimated dietary exposures from the 2004 sweetener survey (baseline) and the Ace K exposures from the intensely sweetened chewing gums were estimated for populations aged 12 years and over for Australia and 15 years and over for New Zealand </w:t>
      </w:r>
      <w:r>
        <w:rPr>
          <w:sz w:val="18"/>
          <w:szCs w:val="18"/>
        </w:rPr>
        <w:t xml:space="preserve">(consumers only) </w:t>
      </w:r>
      <w:r w:rsidRPr="00256543">
        <w:rPr>
          <w:sz w:val="18"/>
          <w:szCs w:val="18"/>
        </w:rPr>
        <w:t>and expressed as a percentage of the ADI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83C4" w14:textId="77777777" w:rsidR="00407CE4" w:rsidRPr="007D03EA" w:rsidRDefault="00407CE4" w:rsidP="001713AF">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83C9" w14:textId="77777777" w:rsidR="00407CE4" w:rsidRDefault="00407CE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908"/>
    <w:multiLevelType w:val="multilevel"/>
    <w:tmpl w:val="D0525B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854C2"/>
    <w:multiLevelType w:val="hybridMultilevel"/>
    <w:tmpl w:val="B82A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520567"/>
    <w:multiLevelType w:val="hybridMultilevel"/>
    <w:tmpl w:val="70E2F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0C3A25"/>
    <w:multiLevelType w:val="hybridMultilevel"/>
    <w:tmpl w:val="A626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4DB0541"/>
    <w:multiLevelType w:val="hybridMultilevel"/>
    <w:tmpl w:val="5C3C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CC6F04"/>
    <w:multiLevelType w:val="hybridMultilevel"/>
    <w:tmpl w:val="9766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846748"/>
    <w:multiLevelType w:val="hybridMultilevel"/>
    <w:tmpl w:val="1D4C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BDE5926"/>
    <w:multiLevelType w:val="hybridMultilevel"/>
    <w:tmpl w:val="AB4A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2B3811"/>
    <w:multiLevelType w:val="hybridMultilevel"/>
    <w:tmpl w:val="4A703842"/>
    <w:lvl w:ilvl="0" w:tplc="A440CB4C">
      <w:numFmt w:val="bullet"/>
      <w:pStyle w:val="Dash"/>
      <w:lvlText w:val="-"/>
      <w:lvlJc w:val="left"/>
      <w:pPr>
        <w:tabs>
          <w:tab w:val="num" w:pos="583"/>
        </w:tabs>
        <w:ind w:left="583" w:hanging="360"/>
      </w:pPr>
      <w:rPr>
        <w:rFonts w:ascii="Times New Roman" w:eastAsia="Times New Roman" w:hAnsi="Times New Roman" w:cs="Times New Roman" w:hint="default"/>
      </w:rPr>
    </w:lvl>
    <w:lvl w:ilvl="1" w:tplc="9BCA2148" w:tentative="1">
      <w:start w:val="1"/>
      <w:numFmt w:val="bullet"/>
      <w:lvlText w:val="o"/>
      <w:lvlJc w:val="left"/>
      <w:pPr>
        <w:tabs>
          <w:tab w:val="num" w:pos="1440"/>
        </w:tabs>
        <w:ind w:left="1440" w:hanging="360"/>
      </w:pPr>
      <w:rPr>
        <w:rFonts w:ascii="Courier New" w:hAnsi="Courier New" w:cs="Courier New" w:hint="default"/>
      </w:rPr>
    </w:lvl>
    <w:lvl w:ilvl="2" w:tplc="07F6C9BC" w:tentative="1">
      <w:start w:val="1"/>
      <w:numFmt w:val="bullet"/>
      <w:lvlText w:val=""/>
      <w:lvlJc w:val="left"/>
      <w:pPr>
        <w:tabs>
          <w:tab w:val="num" w:pos="2160"/>
        </w:tabs>
        <w:ind w:left="2160" w:hanging="360"/>
      </w:pPr>
      <w:rPr>
        <w:rFonts w:ascii="Wingdings" w:hAnsi="Wingdings" w:hint="default"/>
      </w:rPr>
    </w:lvl>
    <w:lvl w:ilvl="3" w:tplc="E60CD978" w:tentative="1">
      <w:start w:val="1"/>
      <w:numFmt w:val="bullet"/>
      <w:lvlText w:val=""/>
      <w:lvlJc w:val="left"/>
      <w:pPr>
        <w:tabs>
          <w:tab w:val="num" w:pos="2880"/>
        </w:tabs>
        <w:ind w:left="2880" w:hanging="360"/>
      </w:pPr>
      <w:rPr>
        <w:rFonts w:ascii="Symbol" w:hAnsi="Symbol" w:hint="default"/>
      </w:rPr>
    </w:lvl>
    <w:lvl w:ilvl="4" w:tplc="65780D44" w:tentative="1">
      <w:start w:val="1"/>
      <w:numFmt w:val="bullet"/>
      <w:lvlText w:val="o"/>
      <w:lvlJc w:val="left"/>
      <w:pPr>
        <w:tabs>
          <w:tab w:val="num" w:pos="3600"/>
        </w:tabs>
        <w:ind w:left="3600" w:hanging="360"/>
      </w:pPr>
      <w:rPr>
        <w:rFonts w:ascii="Courier New" w:hAnsi="Courier New" w:cs="Courier New" w:hint="default"/>
      </w:rPr>
    </w:lvl>
    <w:lvl w:ilvl="5" w:tplc="4E50DEF0" w:tentative="1">
      <w:start w:val="1"/>
      <w:numFmt w:val="bullet"/>
      <w:lvlText w:val=""/>
      <w:lvlJc w:val="left"/>
      <w:pPr>
        <w:tabs>
          <w:tab w:val="num" w:pos="4320"/>
        </w:tabs>
        <w:ind w:left="4320" w:hanging="360"/>
      </w:pPr>
      <w:rPr>
        <w:rFonts w:ascii="Wingdings" w:hAnsi="Wingdings" w:hint="default"/>
      </w:rPr>
    </w:lvl>
    <w:lvl w:ilvl="6" w:tplc="1CCC1B14" w:tentative="1">
      <w:start w:val="1"/>
      <w:numFmt w:val="bullet"/>
      <w:lvlText w:val=""/>
      <w:lvlJc w:val="left"/>
      <w:pPr>
        <w:tabs>
          <w:tab w:val="num" w:pos="5040"/>
        </w:tabs>
        <w:ind w:left="5040" w:hanging="360"/>
      </w:pPr>
      <w:rPr>
        <w:rFonts w:ascii="Symbol" w:hAnsi="Symbol" w:hint="default"/>
      </w:rPr>
    </w:lvl>
    <w:lvl w:ilvl="7" w:tplc="3BE05FB4" w:tentative="1">
      <w:start w:val="1"/>
      <w:numFmt w:val="bullet"/>
      <w:lvlText w:val="o"/>
      <w:lvlJc w:val="left"/>
      <w:pPr>
        <w:tabs>
          <w:tab w:val="num" w:pos="5760"/>
        </w:tabs>
        <w:ind w:left="5760" w:hanging="360"/>
      </w:pPr>
      <w:rPr>
        <w:rFonts w:ascii="Courier New" w:hAnsi="Courier New" w:cs="Courier New" w:hint="default"/>
      </w:rPr>
    </w:lvl>
    <w:lvl w:ilvl="8" w:tplc="07EE8774" w:tentative="1">
      <w:start w:val="1"/>
      <w:numFmt w:val="bullet"/>
      <w:lvlText w:val=""/>
      <w:lvlJc w:val="left"/>
      <w:pPr>
        <w:tabs>
          <w:tab w:val="num" w:pos="6480"/>
        </w:tabs>
        <w:ind w:left="6480" w:hanging="360"/>
      </w:pPr>
      <w:rPr>
        <w:rFonts w:ascii="Wingdings" w:hAnsi="Wingdings" w:hint="default"/>
      </w:rPr>
    </w:lvl>
  </w:abstractNum>
  <w:abstractNum w:abstractNumId="18">
    <w:nsid w:val="65D3094C"/>
    <w:multiLevelType w:val="hybridMultilevel"/>
    <w:tmpl w:val="CC34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nsid w:val="7AC951A6"/>
    <w:multiLevelType w:val="hybridMultilevel"/>
    <w:tmpl w:val="1E9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CFB0A2E"/>
    <w:multiLevelType w:val="hybridMultilevel"/>
    <w:tmpl w:val="94BE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9"/>
  </w:num>
  <w:num w:numId="9">
    <w:abstractNumId w:val="11"/>
  </w:num>
  <w:num w:numId="10">
    <w:abstractNumId w:val="16"/>
  </w:num>
  <w:num w:numId="11">
    <w:abstractNumId w:val="19"/>
  </w:num>
  <w:num w:numId="12">
    <w:abstractNumId w:val="11"/>
  </w:num>
  <w:num w:numId="13">
    <w:abstractNumId w:val="16"/>
  </w:num>
  <w:num w:numId="14">
    <w:abstractNumId w:val="21"/>
  </w:num>
  <w:num w:numId="15">
    <w:abstractNumId w:val="1"/>
  </w:num>
  <w:num w:numId="16">
    <w:abstractNumId w:val="6"/>
  </w:num>
  <w:num w:numId="17">
    <w:abstractNumId w:val="13"/>
  </w:num>
  <w:num w:numId="18">
    <w:abstractNumId w:val="5"/>
  </w:num>
  <w:num w:numId="19">
    <w:abstractNumId w:val="17"/>
  </w:num>
  <w:num w:numId="20">
    <w:abstractNumId w:val="20"/>
  </w:num>
  <w:num w:numId="21">
    <w:abstractNumId w:val="18"/>
  </w:num>
  <w:num w:numId="22">
    <w:abstractNumId w:val="14"/>
  </w:num>
  <w:num w:numId="23">
    <w:abstractNumId w:val="10"/>
  </w:num>
  <w:num w:numId="24">
    <w:abstractNumId w:val="7"/>
  </w:num>
  <w:num w:numId="25">
    <w:abstractNumId w:val="0"/>
  </w:num>
  <w:num w:numId="26">
    <w:abstractNumId w:val="3"/>
  </w:num>
  <w:num w:numId="27">
    <w:abstractNumId w:val="4"/>
  </w:num>
  <w:num w:numId="28">
    <w:abstractNumId w:val="9"/>
  </w:num>
  <w:num w:numId="29">
    <w:abstractNumId w:val="2"/>
  </w:num>
  <w:num w:numId="30">
    <w:abstractNumId w:val="12"/>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s>
  <w:rsids>
    <w:rsidRoot w:val="00F223EF"/>
    <w:rsid w:val="00004F46"/>
    <w:rsid w:val="0000542C"/>
    <w:rsid w:val="00006305"/>
    <w:rsid w:val="00006859"/>
    <w:rsid w:val="00007A51"/>
    <w:rsid w:val="0001167A"/>
    <w:rsid w:val="0001179E"/>
    <w:rsid w:val="00015AFF"/>
    <w:rsid w:val="00021E0F"/>
    <w:rsid w:val="00022FDB"/>
    <w:rsid w:val="00026082"/>
    <w:rsid w:val="00033815"/>
    <w:rsid w:val="00041643"/>
    <w:rsid w:val="000441A6"/>
    <w:rsid w:val="00047138"/>
    <w:rsid w:val="00050BD5"/>
    <w:rsid w:val="00054014"/>
    <w:rsid w:val="00055D5A"/>
    <w:rsid w:val="00057AB1"/>
    <w:rsid w:val="000622E7"/>
    <w:rsid w:val="00066854"/>
    <w:rsid w:val="00066D85"/>
    <w:rsid w:val="00067873"/>
    <w:rsid w:val="00067E0D"/>
    <w:rsid w:val="0007403D"/>
    <w:rsid w:val="0007630C"/>
    <w:rsid w:val="000776CF"/>
    <w:rsid w:val="00081F57"/>
    <w:rsid w:val="00085644"/>
    <w:rsid w:val="0009095C"/>
    <w:rsid w:val="000911CD"/>
    <w:rsid w:val="00092E51"/>
    <w:rsid w:val="000A02A5"/>
    <w:rsid w:val="000A1D74"/>
    <w:rsid w:val="000A22BF"/>
    <w:rsid w:val="000A3134"/>
    <w:rsid w:val="000A38F8"/>
    <w:rsid w:val="000A3A13"/>
    <w:rsid w:val="000A4980"/>
    <w:rsid w:val="000A4FCA"/>
    <w:rsid w:val="000B1E7D"/>
    <w:rsid w:val="000B22A6"/>
    <w:rsid w:val="000C0401"/>
    <w:rsid w:val="000D2E9F"/>
    <w:rsid w:val="000D7C15"/>
    <w:rsid w:val="000E069E"/>
    <w:rsid w:val="000E1377"/>
    <w:rsid w:val="000E67A2"/>
    <w:rsid w:val="000F00EF"/>
    <w:rsid w:val="000F2196"/>
    <w:rsid w:val="000F39AB"/>
    <w:rsid w:val="000F66C8"/>
    <w:rsid w:val="000F7804"/>
    <w:rsid w:val="001035B2"/>
    <w:rsid w:val="00106262"/>
    <w:rsid w:val="00106CB7"/>
    <w:rsid w:val="0012088D"/>
    <w:rsid w:val="00123309"/>
    <w:rsid w:val="00130859"/>
    <w:rsid w:val="001418BE"/>
    <w:rsid w:val="0014489C"/>
    <w:rsid w:val="001450A2"/>
    <w:rsid w:val="00146080"/>
    <w:rsid w:val="001470E4"/>
    <w:rsid w:val="0015415B"/>
    <w:rsid w:val="00161CD4"/>
    <w:rsid w:val="00163137"/>
    <w:rsid w:val="0016557F"/>
    <w:rsid w:val="00165C7D"/>
    <w:rsid w:val="001700A5"/>
    <w:rsid w:val="001713AF"/>
    <w:rsid w:val="001734EA"/>
    <w:rsid w:val="00174FDF"/>
    <w:rsid w:val="001813BB"/>
    <w:rsid w:val="0018334D"/>
    <w:rsid w:val="00184403"/>
    <w:rsid w:val="001871C0"/>
    <w:rsid w:val="0018727D"/>
    <w:rsid w:val="001876A1"/>
    <w:rsid w:val="00191770"/>
    <w:rsid w:val="00195376"/>
    <w:rsid w:val="00196080"/>
    <w:rsid w:val="001A2962"/>
    <w:rsid w:val="001A3213"/>
    <w:rsid w:val="001A3863"/>
    <w:rsid w:val="001A3CE5"/>
    <w:rsid w:val="001A48AF"/>
    <w:rsid w:val="001B1991"/>
    <w:rsid w:val="001B4383"/>
    <w:rsid w:val="001B4AD3"/>
    <w:rsid w:val="001B4D68"/>
    <w:rsid w:val="001C1234"/>
    <w:rsid w:val="001C2A8D"/>
    <w:rsid w:val="001C4316"/>
    <w:rsid w:val="001C5126"/>
    <w:rsid w:val="001C7346"/>
    <w:rsid w:val="001C7DDD"/>
    <w:rsid w:val="001D378C"/>
    <w:rsid w:val="001D7F76"/>
    <w:rsid w:val="001E0FEE"/>
    <w:rsid w:val="001E5B30"/>
    <w:rsid w:val="001E696B"/>
    <w:rsid w:val="001E73C6"/>
    <w:rsid w:val="002004C1"/>
    <w:rsid w:val="002024B8"/>
    <w:rsid w:val="0020300A"/>
    <w:rsid w:val="00205D14"/>
    <w:rsid w:val="00206EC4"/>
    <w:rsid w:val="00207D79"/>
    <w:rsid w:val="00212B6B"/>
    <w:rsid w:val="002232B1"/>
    <w:rsid w:val="00225AFC"/>
    <w:rsid w:val="00233DFD"/>
    <w:rsid w:val="00234C31"/>
    <w:rsid w:val="00250788"/>
    <w:rsid w:val="0025401D"/>
    <w:rsid w:val="00255F9E"/>
    <w:rsid w:val="00256543"/>
    <w:rsid w:val="0026055E"/>
    <w:rsid w:val="00265CB6"/>
    <w:rsid w:val="00271CF2"/>
    <w:rsid w:val="002737EF"/>
    <w:rsid w:val="0028021C"/>
    <w:rsid w:val="002809C5"/>
    <w:rsid w:val="00282740"/>
    <w:rsid w:val="002853C4"/>
    <w:rsid w:val="00292539"/>
    <w:rsid w:val="002A1327"/>
    <w:rsid w:val="002A234C"/>
    <w:rsid w:val="002A300D"/>
    <w:rsid w:val="002A4027"/>
    <w:rsid w:val="002A5A35"/>
    <w:rsid w:val="002B1B13"/>
    <w:rsid w:val="002B5737"/>
    <w:rsid w:val="002B5A33"/>
    <w:rsid w:val="002C4174"/>
    <w:rsid w:val="002D0969"/>
    <w:rsid w:val="002D0AE1"/>
    <w:rsid w:val="002D484A"/>
    <w:rsid w:val="002D5BE7"/>
    <w:rsid w:val="002D6364"/>
    <w:rsid w:val="002D7B3D"/>
    <w:rsid w:val="002E1B7F"/>
    <w:rsid w:val="002E6FC6"/>
    <w:rsid w:val="002E6FEC"/>
    <w:rsid w:val="002F063A"/>
    <w:rsid w:val="00301B67"/>
    <w:rsid w:val="00302E89"/>
    <w:rsid w:val="003032EE"/>
    <w:rsid w:val="003053C3"/>
    <w:rsid w:val="00310809"/>
    <w:rsid w:val="0031334C"/>
    <w:rsid w:val="00320637"/>
    <w:rsid w:val="00320A2E"/>
    <w:rsid w:val="00320AC9"/>
    <w:rsid w:val="00321EAF"/>
    <w:rsid w:val="003232E1"/>
    <w:rsid w:val="003246BC"/>
    <w:rsid w:val="00325449"/>
    <w:rsid w:val="0033021F"/>
    <w:rsid w:val="00334759"/>
    <w:rsid w:val="003356B7"/>
    <w:rsid w:val="00341D25"/>
    <w:rsid w:val="003430A8"/>
    <w:rsid w:val="00345A12"/>
    <w:rsid w:val="00346D6F"/>
    <w:rsid w:val="00360DB2"/>
    <w:rsid w:val="00361329"/>
    <w:rsid w:val="003617BA"/>
    <w:rsid w:val="00365BF3"/>
    <w:rsid w:val="00367C1A"/>
    <w:rsid w:val="0037070A"/>
    <w:rsid w:val="00376DBB"/>
    <w:rsid w:val="0038112D"/>
    <w:rsid w:val="00390D5E"/>
    <w:rsid w:val="003942DE"/>
    <w:rsid w:val="00394444"/>
    <w:rsid w:val="003974A1"/>
    <w:rsid w:val="003A0832"/>
    <w:rsid w:val="003A1D0D"/>
    <w:rsid w:val="003A3E4C"/>
    <w:rsid w:val="003A43CB"/>
    <w:rsid w:val="003A4FBA"/>
    <w:rsid w:val="003A53D4"/>
    <w:rsid w:val="003B135C"/>
    <w:rsid w:val="003B6B89"/>
    <w:rsid w:val="003C33EF"/>
    <w:rsid w:val="003C49C4"/>
    <w:rsid w:val="003C67F5"/>
    <w:rsid w:val="003C6C43"/>
    <w:rsid w:val="003C7CC2"/>
    <w:rsid w:val="003E3C7C"/>
    <w:rsid w:val="003E6E29"/>
    <w:rsid w:val="003F2AD1"/>
    <w:rsid w:val="003F6C70"/>
    <w:rsid w:val="00401D90"/>
    <w:rsid w:val="00404702"/>
    <w:rsid w:val="00404D6A"/>
    <w:rsid w:val="00407CE4"/>
    <w:rsid w:val="00412325"/>
    <w:rsid w:val="00412D95"/>
    <w:rsid w:val="00415ABA"/>
    <w:rsid w:val="00416980"/>
    <w:rsid w:val="00423285"/>
    <w:rsid w:val="00426CD4"/>
    <w:rsid w:val="00440159"/>
    <w:rsid w:val="00440C3B"/>
    <w:rsid w:val="00441D38"/>
    <w:rsid w:val="00441D77"/>
    <w:rsid w:val="00443F05"/>
    <w:rsid w:val="004460A1"/>
    <w:rsid w:val="004503E8"/>
    <w:rsid w:val="00454CD9"/>
    <w:rsid w:val="00457591"/>
    <w:rsid w:val="004606F3"/>
    <w:rsid w:val="004615E1"/>
    <w:rsid w:val="00465CE2"/>
    <w:rsid w:val="00472D5D"/>
    <w:rsid w:val="00477964"/>
    <w:rsid w:val="004803DF"/>
    <w:rsid w:val="00481142"/>
    <w:rsid w:val="00481FC3"/>
    <w:rsid w:val="00486619"/>
    <w:rsid w:val="00494840"/>
    <w:rsid w:val="004949FC"/>
    <w:rsid w:val="00497327"/>
    <w:rsid w:val="004A16AB"/>
    <w:rsid w:val="004A324A"/>
    <w:rsid w:val="004A587F"/>
    <w:rsid w:val="004B47D0"/>
    <w:rsid w:val="004B4A1B"/>
    <w:rsid w:val="004B55C7"/>
    <w:rsid w:val="004B69A7"/>
    <w:rsid w:val="004C0CB4"/>
    <w:rsid w:val="004C54BD"/>
    <w:rsid w:val="004C6CCC"/>
    <w:rsid w:val="004D3790"/>
    <w:rsid w:val="004D3868"/>
    <w:rsid w:val="004E6694"/>
    <w:rsid w:val="004F1C78"/>
    <w:rsid w:val="004F48D4"/>
    <w:rsid w:val="005034D7"/>
    <w:rsid w:val="00504AD7"/>
    <w:rsid w:val="00505F7A"/>
    <w:rsid w:val="00517CE4"/>
    <w:rsid w:val="00522ACA"/>
    <w:rsid w:val="0052394C"/>
    <w:rsid w:val="0054036E"/>
    <w:rsid w:val="005405A4"/>
    <w:rsid w:val="005437BF"/>
    <w:rsid w:val="00546B9D"/>
    <w:rsid w:val="00553C48"/>
    <w:rsid w:val="00553CB1"/>
    <w:rsid w:val="0057391B"/>
    <w:rsid w:val="005764C7"/>
    <w:rsid w:val="005804A7"/>
    <w:rsid w:val="00581968"/>
    <w:rsid w:val="00583CD1"/>
    <w:rsid w:val="005904A2"/>
    <w:rsid w:val="005907FC"/>
    <w:rsid w:val="00591AAB"/>
    <w:rsid w:val="0059238A"/>
    <w:rsid w:val="00592AB8"/>
    <w:rsid w:val="005944FF"/>
    <w:rsid w:val="005951E6"/>
    <w:rsid w:val="0059588B"/>
    <w:rsid w:val="00595B3A"/>
    <w:rsid w:val="00595C58"/>
    <w:rsid w:val="005A5AEA"/>
    <w:rsid w:val="005B11F5"/>
    <w:rsid w:val="005B4104"/>
    <w:rsid w:val="005B4429"/>
    <w:rsid w:val="005B54BF"/>
    <w:rsid w:val="005B578D"/>
    <w:rsid w:val="005B75C8"/>
    <w:rsid w:val="005B76DA"/>
    <w:rsid w:val="005B7E16"/>
    <w:rsid w:val="005C00F9"/>
    <w:rsid w:val="005C1996"/>
    <w:rsid w:val="005D0961"/>
    <w:rsid w:val="005E0005"/>
    <w:rsid w:val="005E4B84"/>
    <w:rsid w:val="005E5026"/>
    <w:rsid w:val="005F0475"/>
    <w:rsid w:val="005F394A"/>
    <w:rsid w:val="005F47F7"/>
    <w:rsid w:val="005F53C4"/>
    <w:rsid w:val="006001D5"/>
    <w:rsid w:val="0060561C"/>
    <w:rsid w:val="00612974"/>
    <w:rsid w:val="00613A06"/>
    <w:rsid w:val="00613BBC"/>
    <w:rsid w:val="00621F90"/>
    <w:rsid w:val="00624EEC"/>
    <w:rsid w:val="006264B7"/>
    <w:rsid w:val="00637130"/>
    <w:rsid w:val="00640BAD"/>
    <w:rsid w:val="00645788"/>
    <w:rsid w:val="0064732E"/>
    <w:rsid w:val="00656B2D"/>
    <w:rsid w:val="006621A1"/>
    <w:rsid w:val="00662BF8"/>
    <w:rsid w:val="0066374A"/>
    <w:rsid w:val="006656E2"/>
    <w:rsid w:val="006710AA"/>
    <w:rsid w:val="006741A6"/>
    <w:rsid w:val="0067425B"/>
    <w:rsid w:val="00674B36"/>
    <w:rsid w:val="00675B84"/>
    <w:rsid w:val="00677263"/>
    <w:rsid w:val="00682389"/>
    <w:rsid w:val="0068359D"/>
    <w:rsid w:val="00687689"/>
    <w:rsid w:val="006906BE"/>
    <w:rsid w:val="006965E4"/>
    <w:rsid w:val="006A15AE"/>
    <w:rsid w:val="006A7FBD"/>
    <w:rsid w:val="006B4988"/>
    <w:rsid w:val="006B6900"/>
    <w:rsid w:val="006C1FF3"/>
    <w:rsid w:val="006C3261"/>
    <w:rsid w:val="006C7C95"/>
    <w:rsid w:val="006D473E"/>
    <w:rsid w:val="006D4D6B"/>
    <w:rsid w:val="006D55B7"/>
    <w:rsid w:val="006D651B"/>
    <w:rsid w:val="006E0E02"/>
    <w:rsid w:val="006E234E"/>
    <w:rsid w:val="006E449F"/>
    <w:rsid w:val="006F57BF"/>
    <w:rsid w:val="00702C34"/>
    <w:rsid w:val="00704151"/>
    <w:rsid w:val="00705A37"/>
    <w:rsid w:val="00706A71"/>
    <w:rsid w:val="00713A02"/>
    <w:rsid w:val="00713AEE"/>
    <w:rsid w:val="00720453"/>
    <w:rsid w:val="007255D8"/>
    <w:rsid w:val="007257FA"/>
    <w:rsid w:val="0073141D"/>
    <w:rsid w:val="007316B8"/>
    <w:rsid w:val="00733398"/>
    <w:rsid w:val="0073513E"/>
    <w:rsid w:val="00736702"/>
    <w:rsid w:val="0073734C"/>
    <w:rsid w:val="007414B8"/>
    <w:rsid w:val="0074196B"/>
    <w:rsid w:val="0074318E"/>
    <w:rsid w:val="0074636B"/>
    <w:rsid w:val="00754280"/>
    <w:rsid w:val="00770899"/>
    <w:rsid w:val="007824A1"/>
    <w:rsid w:val="00786D55"/>
    <w:rsid w:val="007907A6"/>
    <w:rsid w:val="00793DE6"/>
    <w:rsid w:val="00794124"/>
    <w:rsid w:val="007A0B0E"/>
    <w:rsid w:val="007A5BD6"/>
    <w:rsid w:val="007C0B41"/>
    <w:rsid w:val="007C1999"/>
    <w:rsid w:val="007C644B"/>
    <w:rsid w:val="007C6722"/>
    <w:rsid w:val="007D2CD5"/>
    <w:rsid w:val="007D63FE"/>
    <w:rsid w:val="007D6CC7"/>
    <w:rsid w:val="007E30E2"/>
    <w:rsid w:val="007E7CB7"/>
    <w:rsid w:val="007F0302"/>
    <w:rsid w:val="007F0474"/>
    <w:rsid w:val="007F6456"/>
    <w:rsid w:val="007F67F9"/>
    <w:rsid w:val="00802FC0"/>
    <w:rsid w:val="00805578"/>
    <w:rsid w:val="008134C7"/>
    <w:rsid w:val="00817247"/>
    <w:rsid w:val="00820027"/>
    <w:rsid w:val="00821838"/>
    <w:rsid w:val="00824840"/>
    <w:rsid w:val="00830393"/>
    <w:rsid w:val="008310E4"/>
    <w:rsid w:val="00832657"/>
    <w:rsid w:val="008331A0"/>
    <w:rsid w:val="00833D5A"/>
    <w:rsid w:val="008359D4"/>
    <w:rsid w:val="008360A5"/>
    <w:rsid w:val="00840DF0"/>
    <w:rsid w:val="008424D4"/>
    <w:rsid w:val="00843077"/>
    <w:rsid w:val="00844B72"/>
    <w:rsid w:val="00844FBC"/>
    <w:rsid w:val="00846C8B"/>
    <w:rsid w:val="008519E5"/>
    <w:rsid w:val="00853957"/>
    <w:rsid w:val="00856D60"/>
    <w:rsid w:val="00856E6F"/>
    <w:rsid w:val="00860196"/>
    <w:rsid w:val="00860EE7"/>
    <w:rsid w:val="00863FD5"/>
    <w:rsid w:val="00873A95"/>
    <w:rsid w:val="0087501D"/>
    <w:rsid w:val="00875C43"/>
    <w:rsid w:val="00877A81"/>
    <w:rsid w:val="00881BBA"/>
    <w:rsid w:val="00892D48"/>
    <w:rsid w:val="008931F6"/>
    <w:rsid w:val="008A1B0C"/>
    <w:rsid w:val="008A352D"/>
    <w:rsid w:val="008A7F59"/>
    <w:rsid w:val="008B642A"/>
    <w:rsid w:val="008B725D"/>
    <w:rsid w:val="008C043A"/>
    <w:rsid w:val="008C1F2C"/>
    <w:rsid w:val="008C71B5"/>
    <w:rsid w:val="008D0FC5"/>
    <w:rsid w:val="008D2985"/>
    <w:rsid w:val="008D3C31"/>
    <w:rsid w:val="008D4ECC"/>
    <w:rsid w:val="008D664B"/>
    <w:rsid w:val="008E2339"/>
    <w:rsid w:val="008E6514"/>
    <w:rsid w:val="008F31FD"/>
    <w:rsid w:val="008F38AD"/>
    <w:rsid w:val="008F39C2"/>
    <w:rsid w:val="008F4820"/>
    <w:rsid w:val="008F6986"/>
    <w:rsid w:val="008F7C15"/>
    <w:rsid w:val="00900E58"/>
    <w:rsid w:val="009022C5"/>
    <w:rsid w:val="00904297"/>
    <w:rsid w:val="0090649A"/>
    <w:rsid w:val="0092065E"/>
    <w:rsid w:val="00925A7B"/>
    <w:rsid w:val="00930B8C"/>
    <w:rsid w:val="00935023"/>
    <w:rsid w:val="00937AA5"/>
    <w:rsid w:val="00955A94"/>
    <w:rsid w:val="009570BD"/>
    <w:rsid w:val="00957ED3"/>
    <w:rsid w:val="0096213C"/>
    <w:rsid w:val="00967035"/>
    <w:rsid w:val="0097075C"/>
    <w:rsid w:val="0097107D"/>
    <w:rsid w:val="00975740"/>
    <w:rsid w:val="00977F11"/>
    <w:rsid w:val="009806A5"/>
    <w:rsid w:val="00980BA8"/>
    <w:rsid w:val="00980CF7"/>
    <w:rsid w:val="00983A31"/>
    <w:rsid w:val="009867BF"/>
    <w:rsid w:val="009934EA"/>
    <w:rsid w:val="009A27DB"/>
    <w:rsid w:val="009A3DBA"/>
    <w:rsid w:val="009A4D2A"/>
    <w:rsid w:val="009B0FDE"/>
    <w:rsid w:val="009B5E36"/>
    <w:rsid w:val="009B72B4"/>
    <w:rsid w:val="009B7D8E"/>
    <w:rsid w:val="009C00A0"/>
    <w:rsid w:val="009C0CE6"/>
    <w:rsid w:val="009C68C7"/>
    <w:rsid w:val="009D0D11"/>
    <w:rsid w:val="009E265A"/>
    <w:rsid w:val="009E3B0A"/>
    <w:rsid w:val="009F1B66"/>
    <w:rsid w:val="009F3FEE"/>
    <w:rsid w:val="00A050E0"/>
    <w:rsid w:val="00A14B61"/>
    <w:rsid w:val="00A210C2"/>
    <w:rsid w:val="00A21146"/>
    <w:rsid w:val="00A232C9"/>
    <w:rsid w:val="00A25B29"/>
    <w:rsid w:val="00A26F82"/>
    <w:rsid w:val="00A31097"/>
    <w:rsid w:val="00A312EA"/>
    <w:rsid w:val="00A323E9"/>
    <w:rsid w:val="00A331E0"/>
    <w:rsid w:val="00A437DC"/>
    <w:rsid w:val="00A4538F"/>
    <w:rsid w:val="00A45C29"/>
    <w:rsid w:val="00A514D4"/>
    <w:rsid w:val="00A557E6"/>
    <w:rsid w:val="00A60B9A"/>
    <w:rsid w:val="00A6137C"/>
    <w:rsid w:val="00A64AE5"/>
    <w:rsid w:val="00A67636"/>
    <w:rsid w:val="00A7213E"/>
    <w:rsid w:val="00A7628A"/>
    <w:rsid w:val="00A84664"/>
    <w:rsid w:val="00A91432"/>
    <w:rsid w:val="00A92576"/>
    <w:rsid w:val="00A928A6"/>
    <w:rsid w:val="00A96502"/>
    <w:rsid w:val="00AA3530"/>
    <w:rsid w:val="00AA3CE3"/>
    <w:rsid w:val="00AB0827"/>
    <w:rsid w:val="00AB1B22"/>
    <w:rsid w:val="00AB330B"/>
    <w:rsid w:val="00AB3C86"/>
    <w:rsid w:val="00AB441C"/>
    <w:rsid w:val="00AB7FB0"/>
    <w:rsid w:val="00AC17C4"/>
    <w:rsid w:val="00AC60B6"/>
    <w:rsid w:val="00AD0FC6"/>
    <w:rsid w:val="00AD3211"/>
    <w:rsid w:val="00AD35C7"/>
    <w:rsid w:val="00AD6F0F"/>
    <w:rsid w:val="00AE551A"/>
    <w:rsid w:val="00AE682D"/>
    <w:rsid w:val="00AE6B51"/>
    <w:rsid w:val="00AE6D14"/>
    <w:rsid w:val="00AE75B4"/>
    <w:rsid w:val="00AF4FE7"/>
    <w:rsid w:val="00AF51BE"/>
    <w:rsid w:val="00AF5C4F"/>
    <w:rsid w:val="00AF6648"/>
    <w:rsid w:val="00B00B1A"/>
    <w:rsid w:val="00B145BA"/>
    <w:rsid w:val="00B25D3A"/>
    <w:rsid w:val="00B334BF"/>
    <w:rsid w:val="00B3400D"/>
    <w:rsid w:val="00B344E1"/>
    <w:rsid w:val="00B37259"/>
    <w:rsid w:val="00B514D9"/>
    <w:rsid w:val="00B53154"/>
    <w:rsid w:val="00B60085"/>
    <w:rsid w:val="00B72E52"/>
    <w:rsid w:val="00B73F93"/>
    <w:rsid w:val="00B74F20"/>
    <w:rsid w:val="00B80510"/>
    <w:rsid w:val="00B81CEE"/>
    <w:rsid w:val="00B84AEE"/>
    <w:rsid w:val="00B91232"/>
    <w:rsid w:val="00B93961"/>
    <w:rsid w:val="00B968A4"/>
    <w:rsid w:val="00B970AC"/>
    <w:rsid w:val="00BA583C"/>
    <w:rsid w:val="00BA66B8"/>
    <w:rsid w:val="00BA7F22"/>
    <w:rsid w:val="00BA7FBA"/>
    <w:rsid w:val="00BB045A"/>
    <w:rsid w:val="00BB3639"/>
    <w:rsid w:val="00BB6C1C"/>
    <w:rsid w:val="00BC1995"/>
    <w:rsid w:val="00BC2133"/>
    <w:rsid w:val="00BC5C52"/>
    <w:rsid w:val="00BC6D95"/>
    <w:rsid w:val="00BC7F7A"/>
    <w:rsid w:val="00BD773F"/>
    <w:rsid w:val="00BE4F3A"/>
    <w:rsid w:val="00BE50EA"/>
    <w:rsid w:val="00C019A6"/>
    <w:rsid w:val="00C03CED"/>
    <w:rsid w:val="00C10BF3"/>
    <w:rsid w:val="00C11675"/>
    <w:rsid w:val="00C1179E"/>
    <w:rsid w:val="00C11D50"/>
    <w:rsid w:val="00C2183D"/>
    <w:rsid w:val="00C22265"/>
    <w:rsid w:val="00C27F2F"/>
    <w:rsid w:val="00C30684"/>
    <w:rsid w:val="00C3290D"/>
    <w:rsid w:val="00C32C55"/>
    <w:rsid w:val="00C32F1C"/>
    <w:rsid w:val="00C3680A"/>
    <w:rsid w:val="00C40114"/>
    <w:rsid w:val="00C427F1"/>
    <w:rsid w:val="00C45174"/>
    <w:rsid w:val="00C47395"/>
    <w:rsid w:val="00C47542"/>
    <w:rsid w:val="00C50208"/>
    <w:rsid w:val="00C50B11"/>
    <w:rsid w:val="00C52721"/>
    <w:rsid w:val="00C529C0"/>
    <w:rsid w:val="00C5442C"/>
    <w:rsid w:val="00C54A56"/>
    <w:rsid w:val="00C572A2"/>
    <w:rsid w:val="00C71CFE"/>
    <w:rsid w:val="00C7246A"/>
    <w:rsid w:val="00C76F5B"/>
    <w:rsid w:val="00C823CA"/>
    <w:rsid w:val="00C837BC"/>
    <w:rsid w:val="00C84FC0"/>
    <w:rsid w:val="00C9117D"/>
    <w:rsid w:val="00C946D1"/>
    <w:rsid w:val="00C95474"/>
    <w:rsid w:val="00CA2324"/>
    <w:rsid w:val="00CA4351"/>
    <w:rsid w:val="00CA53EA"/>
    <w:rsid w:val="00CA6287"/>
    <w:rsid w:val="00CB183D"/>
    <w:rsid w:val="00CC5F23"/>
    <w:rsid w:val="00CD410E"/>
    <w:rsid w:val="00CD639E"/>
    <w:rsid w:val="00CD780F"/>
    <w:rsid w:val="00CE1817"/>
    <w:rsid w:val="00CE2424"/>
    <w:rsid w:val="00CE70E3"/>
    <w:rsid w:val="00CF231A"/>
    <w:rsid w:val="00CF3410"/>
    <w:rsid w:val="00CF41B1"/>
    <w:rsid w:val="00CF6891"/>
    <w:rsid w:val="00D0012A"/>
    <w:rsid w:val="00D011C5"/>
    <w:rsid w:val="00D023E2"/>
    <w:rsid w:val="00D12BB3"/>
    <w:rsid w:val="00D22CB2"/>
    <w:rsid w:val="00D25CC3"/>
    <w:rsid w:val="00D274D0"/>
    <w:rsid w:val="00D30F96"/>
    <w:rsid w:val="00D5526B"/>
    <w:rsid w:val="00D577F0"/>
    <w:rsid w:val="00D66962"/>
    <w:rsid w:val="00D7490E"/>
    <w:rsid w:val="00D8115F"/>
    <w:rsid w:val="00D82D42"/>
    <w:rsid w:val="00D83C34"/>
    <w:rsid w:val="00D8415E"/>
    <w:rsid w:val="00D855CD"/>
    <w:rsid w:val="00D8719D"/>
    <w:rsid w:val="00D87D9C"/>
    <w:rsid w:val="00D90F8F"/>
    <w:rsid w:val="00D92B3B"/>
    <w:rsid w:val="00D954F9"/>
    <w:rsid w:val="00D95950"/>
    <w:rsid w:val="00DA32F6"/>
    <w:rsid w:val="00DA6685"/>
    <w:rsid w:val="00DA7DED"/>
    <w:rsid w:val="00DB0B2B"/>
    <w:rsid w:val="00DB1000"/>
    <w:rsid w:val="00DB4235"/>
    <w:rsid w:val="00DB648F"/>
    <w:rsid w:val="00DB6F86"/>
    <w:rsid w:val="00DC4811"/>
    <w:rsid w:val="00DD2943"/>
    <w:rsid w:val="00DD522D"/>
    <w:rsid w:val="00DE1556"/>
    <w:rsid w:val="00DE3F9C"/>
    <w:rsid w:val="00DE5322"/>
    <w:rsid w:val="00DF193F"/>
    <w:rsid w:val="00DF4A30"/>
    <w:rsid w:val="00DF4AAF"/>
    <w:rsid w:val="00DF6055"/>
    <w:rsid w:val="00E0050C"/>
    <w:rsid w:val="00E00A3C"/>
    <w:rsid w:val="00E015AC"/>
    <w:rsid w:val="00E0567D"/>
    <w:rsid w:val="00E1243F"/>
    <w:rsid w:val="00E13BFE"/>
    <w:rsid w:val="00E148BF"/>
    <w:rsid w:val="00E15AC2"/>
    <w:rsid w:val="00E23629"/>
    <w:rsid w:val="00E2450C"/>
    <w:rsid w:val="00E2707C"/>
    <w:rsid w:val="00E27572"/>
    <w:rsid w:val="00E275F2"/>
    <w:rsid w:val="00E31B59"/>
    <w:rsid w:val="00E340B5"/>
    <w:rsid w:val="00E37FA2"/>
    <w:rsid w:val="00E4001E"/>
    <w:rsid w:val="00E426EB"/>
    <w:rsid w:val="00E45DD9"/>
    <w:rsid w:val="00E53ACA"/>
    <w:rsid w:val="00E544C6"/>
    <w:rsid w:val="00E56A07"/>
    <w:rsid w:val="00E60638"/>
    <w:rsid w:val="00E62FDE"/>
    <w:rsid w:val="00E64F2A"/>
    <w:rsid w:val="00E703A2"/>
    <w:rsid w:val="00E707A6"/>
    <w:rsid w:val="00E76AED"/>
    <w:rsid w:val="00E77604"/>
    <w:rsid w:val="00E8363B"/>
    <w:rsid w:val="00E86F5D"/>
    <w:rsid w:val="00E87221"/>
    <w:rsid w:val="00E901B8"/>
    <w:rsid w:val="00E92B55"/>
    <w:rsid w:val="00E93333"/>
    <w:rsid w:val="00E9409E"/>
    <w:rsid w:val="00E969FF"/>
    <w:rsid w:val="00EA089B"/>
    <w:rsid w:val="00EA772A"/>
    <w:rsid w:val="00EB1159"/>
    <w:rsid w:val="00EB1345"/>
    <w:rsid w:val="00EB37D1"/>
    <w:rsid w:val="00EB606B"/>
    <w:rsid w:val="00EB7A00"/>
    <w:rsid w:val="00EC223D"/>
    <w:rsid w:val="00EC7E7A"/>
    <w:rsid w:val="00ED234A"/>
    <w:rsid w:val="00ED5AB6"/>
    <w:rsid w:val="00ED64D0"/>
    <w:rsid w:val="00ED6FAD"/>
    <w:rsid w:val="00EE3B7B"/>
    <w:rsid w:val="00EF2A08"/>
    <w:rsid w:val="00EF3CCF"/>
    <w:rsid w:val="00EF5D2C"/>
    <w:rsid w:val="00F00AD4"/>
    <w:rsid w:val="00F00FBC"/>
    <w:rsid w:val="00F07715"/>
    <w:rsid w:val="00F07C88"/>
    <w:rsid w:val="00F133A5"/>
    <w:rsid w:val="00F14CF9"/>
    <w:rsid w:val="00F223EF"/>
    <w:rsid w:val="00F2296D"/>
    <w:rsid w:val="00F24666"/>
    <w:rsid w:val="00F279BE"/>
    <w:rsid w:val="00F31DD8"/>
    <w:rsid w:val="00F35C28"/>
    <w:rsid w:val="00F4041F"/>
    <w:rsid w:val="00F4105E"/>
    <w:rsid w:val="00F441D6"/>
    <w:rsid w:val="00F47213"/>
    <w:rsid w:val="00F5093D"/>
    <w:rsid w:val="00F51EC8"/>
    <w:rsid w:val="00F539BA"/>
    <w:rsid w:val="00F54C86"/>
    <w:rsid w:val="00F613E5"/>
    <w:rsid w:val="00F616DA"/>
    <w:rsid w:val="00F616FD"/>
    <w:rsid w:val="00F714CE"/>
    <w:rsid w:val="00F729F9"/>
    <w:rsid w:val="00F75D84"/>
    <w:rsid w:val="00F76F95"/>
    <w:rsid w:val="00F8146C"/>
    <w:rsid w:val="00F82100"/>
    <w:rsid w:val="00F907CB"/>
    <w:rsid w:val="00F94F4B"/>
    <w:rsid w:val="00F9543F"/>
    <w:rsid w:val="00FA309B"/>
    <w:rsid w:val="00FA4377"/>
    <w:rsid w:val="00FA65EA"/>
    <w:rsid w:val="00FA6E33"/>
    <w:rsid w:val="00FA7452"/>
    <w:rsid w:val="00FB189E"/>
    <w:rsid w:val="00FB1E01"/>
    <w:rsid w:val="00FB25F3"/>
    <w:rsid w:val="00FB6DE1"/>
    <w:rsid w:val="00FB77B3"/>
    <w:rsid w:val="00FC210D"/>
    <w:rsid w:val="00FC355F"/>
    <w:rsid w:val="00FC6B00"/>
    <w:rsid w:val="00FC733A"/>
    <w:rsid w:val="00FD2C2E"/>
    <w:rsid w:val="00FD4B8D"/>
    <w:rsid w:val="00FF55E9"/>
    <w:rsid w:val="00FF7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D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qFormat="1"/>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Colorful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D855C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1D378C"/>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1D378C"/>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2A1327"/>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1D378C"/>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1D378C"/>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F223EF"/>
    <w:pPr>
      <w:numPr>
        <w:ilvl w:val="5"/>
        <w:numId w:val="2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F223EF"/>
    <w:pPr>
      <w:numPr>
        <w:ilvl w:val="6"/>
        <w:numId w:val="25"/>
      </w:numPr>
      <w:spacing w:before="240" w:after="60"/>
      <w:outlineLvl w:val="6"/>
    </w:pPr>
  </w:style>
  <w:style w:type="paragraph" w:styleId="Heading8">
    <w:name w:val="heading 8"/>
    <w:basedOn w:val="Normal"/>
    <w:next w:val="Normal"/>
    <w:link w:val="Heading8Char"/>
    <w:uiPriority w:val="9"/>
    <w:unhideWhenUsed/>
    <w:qFormat/>
    <w:rsid w:val="00F223EF"/>
    <w:pPr>
      <w:numPr>
        <w:ilvl w:val="7"/>
        <w:numId w:val="25"/>
      </w:numPr>
      <w:spacing w:before="240" w:after="60"/>
      <w:outlineLvl w:val="7"/>
    </w:pPr>
    <w:rPr>
      <w:i/>
      <w:iCs/>
    </w:rPr>
  </w:style>
  <w:style w:type="paragraph" w:styleId="Heading9">
    <w:name w:val="heading 9"/>
    <w:basedOn w:val="Normal"/>
    <w:next w:val="Normal"/>
    <w:link w:val="Heading9Char"/>
    <w:uiPriority w:val="9"/>
    <w:unhideWhenUsed/>
    <w:qFormat/>
    <w:rsid w:val="00F223EF"/>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1D378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1D378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A132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1D378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1D378C"/>
    <w:rPr>
      <w:rFonts w:eastAsiaTheme="majorEastAsia" w:cstheme="majorBidi"/>
      <w:i/>
      <w:lang w:val="en-GB"/>
    </w:rPr>
  </w:style>
  <w:style w:type="character" w:customStyle="1" w:styleId="Heading6Char">
    <w:name w:val="Heading 6 Char"/>
    <w:basedOn w:val="DefaultParagraphFont"/>
    <w:link w:val="Heading6"/>
    <w:uiPriority w:val="9"/>
    <w:rsid w:val="00F223EF"/>
    <w:rPr>
      <w:rFonts w:eastAsia="Times New Roman" w:cs="Arial Unicode MS"/>
      <w:b/>
      <w:bCs/>
      <w:lang w:val="en-GB" w:bidi="en-US"/>
    </w:rPr>
  </w:style>
  <w:style w:type="paragraph" w:customStyle="1" w:styleId="Table2">
    <w:name w:val="Table 2"/>
    <w:basedOn w:val="Normal"/>
    <w:rsid w:val="00F223EF"/>
    <w:pPr>
      <w:ind w:left="142" w:hanging="142"/>
    </w:pPr>
    <w:rPr>
      <w:bCs/>
      <w:sz w:val="20"/>
      <w:szCs w:val="20"/>
    </w:rPr>
  </w:style>
  <w:style w:type="paragraph" w:customStyle="1" w:styleId="131ItemHeading">
    <w:name w:val="1.3.1 Item Heading"/>
    <w:basedOn w:val="Table2"/>
    <w:next w:val="Table2"/>
    <w:rsid w:val="00F223EF"/>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F223EF"/>
    <w:pPr>
      <w:spacing w:after="120"/>
    </w:pPr>
    <w:rPr>
      <w:caps w:val="0"/>
      <w:sz w:val="18"/>
    </w:rPr>
  </w:style>
  <w:style w:type="paragraph" w:customStyle="1" w:styleId="142Tableheading1">
    <w:name w:val="1.4.2 Table heading1"/>
    <w:basedOn w:val="Normal"/>
    <w:rsid w:val="00F223EF"/>
    <w:pPr>
      <w:keepNext/>
      <w:jc w:val="center"/>
    </w:pPr>
    <w:rPr>
      <w:rFonts w:ascii="Arial Bold" w:hAnsi="Arial Bold"/>
      <w:b/>
      <w:bCs/>
      <w:iCs/>
      <w:sz w:val="18"/>
    </w:rPr>
  </w:style>
  <w:style w:type="paragraph" w:customStyle="1" w:styleId="142Tableheading2">
    <w:name w:val="1.4.2 Table heading2"/>
    <w:basedOn w:val="Normal"/>
    <w:rsid w:val="00F223EF"/>
    <w:pPr>
      <w:keepNext/>
      <w:jc w:val="center"/>
    </w:pPr>
    <w:rPr>
      <w:iCs/>
      <w:smallCaps/>
      <w:sz w:val="20"/>
      <w:szCs w:val="20"/>
    </w:rPr>
  </w:style>
  <w:style w:type="paragraph" w:customStyle="1" w:styleId="142Tabletext1">
    <w:name w:val="1.4.2 Table text1"/>
    <w:basedOn w:val="Normal"/>
    <w:link w:val="142Tabletext1Char"/>
    <w:rsid w:val="00F223EF"/>
    <w:pPr>
      <w:ind w:left="142" w:hanging="142"/>
    </w:pPr>
    <w:rPr>
      <w:sz w:val="18"/>
      <w:szCs w:val="20"/>
    </w:rPr>
  </w:style>
  <w:style w:type="character" w:customStyle="1" w:styleId="142Tabletext1Char">
    <w:name w:val="1.4.2 Table text1 Char"/>
    <w:basedOn w:val="DefaultParagraphFont"/>
    <w:link w:val="142Tabletext1"/>
    <w:rsid w:val="00F223EF"/>
    <w:rPr>
      <w:rFonts w:eastAsia="Times New Roman" w:cs="Times New Roman"/>
      <w:sz w:val="18"/>
      <w:szCs w:val="20"/>
      <w:lang w:val="en-GB" w:bidi="en-US"/>
    </w:rPr>
  </w:style>
  <w:style w:type="paragraph" w:customStyle="1" w:styleId="142Tabletext2">
    <w:name w:val="1.4.2 Table text2"/>
    <w:basedOn w:val="142Tabletext1"/>
    <w:rsid w:val="00F223EF"/>
    <w:pPr>
      <w:jc w:val="right"/>
    </w:pPr>
  </w:style>
  <w:style w:type="paragraph" w:customStyle="1" w:styleId="Blankpage">
    <w:name w:val="Blank page"/>
    <w:basedOn w:val="Normal"/>
    <w:next w:val="Normal"/>
    <w:rsid w:val="00F223EF"/>
    <w:pPr>
      <w:tabs>
        <w:tab w:val="left" w:pos="851"/>
      </w:tabs>
      <w:spacing w:before="6000"/>
      <w:jc w:val="center"/>
    </w:pPr>
    <w:rPr>
      <w:caps/>
      <w:szCs w:val="20"/>
    </w:rPr>
  </w:style>
  <w:style w:type="paragraph" w:customStyle="1" w:styleId="Clause">
    <w:name w:val="Clause"/>
    <w:basedOn w:val="Normal"/>
    <w:next w:val="Normal"/>
    <w:link w:val="ClauseChar"/>
    <w:rsid w:val="00F223EF"/>
    <w:pPr>
      <w:tabs>
        <w:tab w:val="left" w:pos="851"/>
      </w:tabs>
    </w:pPr>
    <w:rPr>
      <w:szCs w:val="20"/>
    </w:rPr>
  </w:style>
  <w:style w:type="character" w:customStyle="1" w:styleId="ClauseChar">
    <w:name w:val="Clause Char"/>
    <w:basedOn w:val="DefaultParagraphFont"/>
    <w:link w:val="Clause"/>
    <w:rsid w:val="00F223EF"/>
    <w:rPr>
      <w:rFonts w:eastAsia="Times New Roman" w:cs="Times New Roman"/>
      <w:szCs w:val="20"/>
      <w:lang w:val="en-GB" w:bidi="en-US"/>
    </w:rPr>
  </w:style>
  <w:style w:type="paragraph" w:customStyle="1" w:styleId="Clauseheading">
    <w:name w:val="Clause heading"/>
    <w:basedOn w:val="Normal"/>
    <w:next w:val="Normal"/>
    <w:rsid w:val="00F223EF"/>
    <w:pPr>
      <w:tabs>
        <w:tab w:val="left" w:pos="851"/>
      </w:tabs>
    </w:pPr>
    <w:rPr>
      <w:b/>
      <w:szCs w:val="20"/>
    </w:rPr>
  </w:style>
  <w:style w:type="paragraph" w:customStyle="1" w:styleId="ClauseList">
    <w:name w:val="Clause List"/>
    <w:basedOn w:val="Clause"/>
    <w:next w:val="Normal"/>
    <w:rsid w:val="00F223EF"/>
  </w:style>
  <w:style w:type="paragraph" w:customStyle="1" w:styleId="Definition">
    <w:name w:val="Definition"/>
    <w:basedOn w:val="Normal"/>
    <w:next w:val="Normal"/>
    <w:link w:val="DefinitionChar"/>
    <w:rsid w:val="00F223EF"/>
    <w:pPr>
      <w:ind w:left="1701" w:hanging="851"/>
    </w:pPr>
    <w:rPr>
      <w:szCs w:val="20"/>
    </w:rPr>
  </w:style>
  <w:style w:type="paragraph" w:customStyle="1" w:styleId="DivisionHeading">
    <w:name w:val="Division Heading"/>
    <w:basedOn w:val="Normal"/>
    <w:next w:val="Normal"/>
    <w:rsid w:val="00F223EF"/>
    <w:pPr>
      <w:tabs>
        <w:tab w:val="left" w:pos="851"/>
      </w:tabs>
      <w:jc w:val="center"/>
    </w:pPr>
    <w:rPr>
      <w:b/>
      <w:sz w:val="28"/>
      <w:szCs w:val="20"/>
    </w:rPr>
  </w:style>
  <w:style w:type="paragraph" w:customStyle="1" w:styleId="EditorialNoteLine1">
    <w:name w:val="Editorial Note Line 1"/>
    <w:basedOn w:val="Normal"/>
    <w:next w:val="Normal"/>
    <w:rsid w:val="00F223EF"/>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F223EF"/>
    <w:rPr>
      <w:b w:val="0"/>
    </w:rPr>
  </w:style>
  <w:style w:type="paragraph" w:styleId="Footer">
    <w:name w:val="footer"/>
    <w:aliases w:val="FSFooter"/>
    <w:basedOn w:val="Normal"/>
    <w:link w:val="FooterChar"/>
    <w:uiPriority w:val="99"/>
    <w:rsid w:val="00F223EF"/>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F223EF"/>
    <w:rPr>
      <w:rFonts w:eastAsia="Times New Roman" w:cs="Times New Roman"/>
      <w:sz w:val="20"/>
      <w:szCs w:val="24"/>
      <w:lang w:val="en-GB" w:bidi="en-US"/>
    </w:rPr>
  </w:style>
  <w:style w:type="paragraph" w:styleId="FootnoteText">
    <w:name w:val="footnote text"/>
    <w:aliases w:val="Footnotes Text,FSFootnotes Text,FSFootnote Text"/>
    <w:basedOn w:val="Normal"/>
    <w:link w:val="FootnoteTextChar"/>
    <w:qFormat/>
    <w:rsid w:val="00F223EF"/>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F223EF"/>
    <w:rPr>
      <w:rFonts w:eastAsia="Times New Roman" w:cs="Times New Roman"/>
      <w:sz w:val="20"/>
      <w:szCs w:val="20"/>
      <w:lang w:val="en-GB" w:bidi="en-US"/>
    </w:rPr>
  </w:style>
  <w:style w:type="paragraph" w:customStyle="1" w:styleId="FSBullet1">
    <w:name w:val="FSBullet 1"/>
    <w:basedOn w:val="Normal"/>
    <w:next w:val="Normal"/>
    <w:link w:val="FSBullet1Char"/>
    <w:qFormat/>
    <w:rsid w:val="006001D5"/>
    <w:pPr>
      <w:widowControl/>
      <w:numPr>
        <w:numId w:val="16"/>
      </w:numPr>
      <w:ind w:left="567" w:hanging="567"/>
    </w:pPr>
    <w:rPr>
      <w:rFonts w:cs="Arial"/>
      <w:lang w:bidi="ar-SA"/>
    </w:rPr>
  </w:style>
  <w:style w:type="character" w:customStyle="1" w:styleId="FSBullet1Char">
    <w:name w:val="FSBullet 1 Char"/>
    <w:link w:val="FSBullet1"/>
    <w:rsid w:val="006001D5"/>
    <w:rPr>
      <w:rFonts w:eastAsia="Times New Roman"/>
      <w:szCs w:val="24"/>
      <w:lang w:val="en-GB"/>
    </w:rPr>
  </w:style>
  <w:style w:type="paragraph" w:customStyle="1" w:styleId="FSBullet2">
    <w:name w:val="FSBullet 2"/>
    <w:basedOn w:val="Normal"/>
    <w:qFormat/>
    <w:rsid w:val="00F223EF"/>
    <w:pPr>
      <w:widowControl/>
      <w:numPr>
        <w:numId w:val="17"/>
      </w:numPr>
      <w:ind w:left="1134" w:hanging="567"/>
    </w:pPr>
    <w:rPr>
      <w:rFonts w:eastAsia="Calibri"/>
      <w:szCs w:val="22"/>
      <w:lang w:bidi="ar-SA"/>
    </w:rPr>
  </w:style>
  <w:style w:type="paragraph" w:customStyle="1" w:styleId="FSBullet3">
    <w:name w:val="FSBullet 3"/>
    <w:basedOn w:val="Normal"/>
    <w:qFormat/>
    <w:rsid w:val="00F223EF"/>
    <w:pPr>
      <w:keepNext/>
      <w:widowControl/>
      <w:numPr>
        <w:numId w:val="18"/>
      </w:numPr>
      <w:ind w:left="1701" w:hanging="567"/>
    </w:pPr>
    <w:rPr>
      <w:rFonts w:eastAsia="Calibri"/>
      <w:b/>
      <w:szCs w:val="22"/>
      <w:lang w:bidi="ar-SA"/>
    </w:rPr>
  </w:style>
  <w:style w:type="paragraph" w:customStyle="1" w:styleId="FSCaption">
    <w:name w:val="FSCaption"/>
    <w:basedOn w:val="Normal"/>
    <w:qFormat/>
    <w:rsid w:val="00F223EF"/>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ootnote"/>
    <w:qFormat/>
    <w:rsid w:val="00F223EF"/>
    <w:pPr>
      <w:tabs>
        <w:tab w:val="clear" w:pos="851"/>
        <w:tab w:val="center" w:pos="4536"/>
        <w:tab w:val="right" w:pos="9070"/>
      </w:tabs>
    </w:pPr>
    <w:rPr>
      <w:sz w:val="18"/>
      <w:szCs w:val="18"/>
    </w:rPr>
  </w:style>
  <w:style w:type="paragraph" w:customStyle="1" w:styleId="FSPagenumber">
    <w:name w:val="FSPage number"/>
    <w:basedOn w:val="Normal"/>
    <w:qFormat/>
    <w:rsid w:val="00F223EF"/>
    <w:pPr>
      <w:jc w:val="right"/>
    </w:pPr>
    <w:rPr>
      <w:sz w:val="20"/>
      <w:szCs w:val="20"/>
    </w:rPr>
  </w:style>
  <w:style w:type="paragraph" w:customStyle="1" w:styleId="FSTableColumnRowheading">
    <w:name w:val="FSTable Column/Row heading"/>
    <w:basedOn w:val="Normal"/>
    <w:qFormat/>
    <w:rsid w:val="00F223EF"/>
    <w:pPr>
      <w:spacing w:before="120" w:after="120"/>
    </w:pPr>
    <w:rPr>
      <w:b/>
      <w:sz w:val="20"/>
      <w:szCs w:val="20"/>
    </w:rPr>
  </w:style>
  <w:style w:type="paragraph" w:customStyle="1" w:styleId="FSTableFigureHeading">
    <w:name w:val="FSTable/Figure Heading"/>
    <w:basedOn w:val="Normal"/>
    <w:qFormat/>
    <w:rsid w:val="00F223EF"/>
    <w:pPr>
      <w:spacing w:before="120" w:after="120"/>
      <w:ind w:left="1134" w:hanging="1134"/>
    </w:pPr>
    <w:rPr>
      <w:b/>
      <w:i/>
    </w:rPr>
  </w:style>
  <w:style w:type="paragraph" w:styleId="Header">
    <w:name w:val="header"/>
    <w:aliases w:val="FSHeader"/>
    <w:basedOn w:val="Normal"/>
    <w:link w:val="HeaderChar"/>
    <w:uiPriority w:val="99"/>
    <w:qFormat/>
    <w:rsid w:val="00F223EF"/>
  </w:style>
  <w:style w:type="character" w:customStyle="1" w:styleId="HeaderChar">
    <w:name w:val="Header Char"/>
    <w:aliases w:val="FSHeader Char"/>
    <w:basedOn w:val="DefaultParagraphFont"/>
    <w:link w:val="Header"/>
    <w:uiPriority w:val="99"/>
    <w:rsid w:val="00F223EF"/>
    <w:rPr>
      <w:rFonts w:eastAsia="Times New Roman" w:cs="Times New Roman"/>
      <w:szCs w:val="24"/>
      <w:lang w:val="en-GB" w:bidi="en-US"/>
    </w:rPr>
  </w:style>
  <w:style w:type="paragraph" w:customStyle="1" w:styleId="Paragraph">
    <w:name w:val="Paragraph"/>
    <w:basedOn w:val="Clause"/>
    <w:next w:val="Normal"/>
    <w:rsid w:val="00F223EF"/>
    <w:pPr>
      <w:tabs>
        <w:tab w:val="clear" w:pos="851"/>
      </w:tabs>
      <w:ind w:left="1702" w:hanging="851"/>
    </w:pPr>
  </w:style>
  <w:style w:type="paragraph" w:customStyle="1" w:styleId="ScheduleHeading">
    <w:name w:val="Schedule Heading"/>
    <w:basedOn w:val="Normal"/>
    <w:next w:val="Normal"/>
    <w:rsid w:val="00F223EF"/>
    <w:pPr>
      <w:tabs>
        <w:tab w:val="left" w:pos="851"/>
      </w:tabs>
      <w:jc w:val="center"/>
    </w:pPr>
    <w:rPr>
      <w:b/>
      <w:caps/>
      <w:szCs w:val="20"/>
    </w:rPr>
  </w:style>
  <w:style w:type="paragraph" w:customStyle="1" w:styleId="Standardtitle">
    <w:name w:val="Standard title"/>
    <w:basedOn w:val="Normal"/>
    <w:rsid w:val="00F223EF"/>
    <w:pPr>
      <w:tabs>
        <w:tab w:val="left" w:pos="851"/>
      </w:tabs>
      <w:jc w:val="center"/>
    </w:pPr>
    <w:rPr>
      <w:b/>
      <w:i/>
      <w:iCs/>
      <w:caps/>
      <w:sz w:val="28"/>
      <w:szCs w:val="20"/>
    </w:rPr>
  </w:style>
  <w:style w:type="paragraph" w:customStyle="1" w:styleId="Subclause">
    <w:name w:val="Subclause"/>
    <w:basedOn w:val="Clause"/>
    <w:link w:val="SubclauseChar"/>
    <w:rsid w:val="00F223EF"/>
    <w:pPr>
      <w:ind w:hanging="11"/>
    </w:pPr>
  </w:style>
  <w:style w:type="paragraph" w:customStyle="1" w:styleId="Subparagraph">
    <w:name w:val="Subparagraph"/>
    <w:basedOn w:val="Paragraph"/>
    <w:next w:val="Normal"/>
    <w:rsid w:val="00F223EF"/>
    <w:pPr>
      <w:ind w:left="2553"/>
    </w:pPr>
  </w:style>
  <w:style w:type="paragraph" w:customStyle="1" w:styleId="Table1">
    <w:name w:val="Table 1"/>
    <w:basedOn w:val="Normal"/>
    <w:rsid w:val="00F223EF"/>
    <w:pPr>
      <w:spacing w:after="120"/>
      <w:jc w:val="center"/>
    </w:pPr>
    <w:rPr>
      <w:b/>
      <w:bCs/>
      <w:sz w:val="20"/>
      <w:szCs w:val="20"/>
    </w:rPr>
  </w:style>
  <w:style w:type="paragraph" w:customStyle="1" w:styleId="TitleBorder">
    <w:name w:val="TitleBorder"/>
    <w:basedOn w:val="Normal"/>
    <w:rsid w:val="00F223EF"/>
    <w:pPr>
      <w:pBdr>
        <w:bottom w:val="double" w:sz="6" w:space="0" w:color="auto"/>
      </w:pBdr>
      <w:tabs>
        <w:tab w:val="left" w:pos="851"/>
      </w:tabs>
    </w:pPr>
    <w:rPr>
      <w:b/>
      <w:szCs w:val="20"/>
    </w:rPr>
  </w:style>
  <w:style w:type="paragraph" w:styleId="NoSpacing">
    <w:name w:val="No Spacing"/>
    <w:basedOn w:val="Normal"/>
    <w:uiPriority w:val="1"/>
    <w:qFormat/>
    <w:rsid w:val="00F223EF"/>
    <w:pPr>
      <w:widowControl/>
    </w:pPr>
    <w:rPr>
      <w:rFonts w:asciiTheme="minorHAnsi" w:eastAsiaTheme="minorHAnsi" w:hAnsiTheme="minorHAnsi" w:cstheme="minorBidi"/>
      <w:szCs w:val="22"/>
      <w:lang w:val="en-AU" w:bidi="ar-SA"/>
    </w:rPr>
  </w:style>
  <w:style w:type="paragraph" w:styleId="Subtitle">
    <w:name w:val="Subtitle"/>
    <w:basedOn w:val="Normal"/>
    <w:next w:val="Normal"/>
    <w:link w:val="SubtitleChar"/>
    <w:uiPriority w:val="11"/>
    <w:qFormat/>
    <w:rsid w:val="00F223EF"/>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223EF"/>
    <w:rPr>
      <w:rFonts w:asciiTheme="majorHAnsi" w:eastAsiaTheme="majorEastAsia" w:hAnsiTheme="majorHAnsi" w:cstheme="majorBidi"/>
      <w:i/>
      <w:iCs/>
      <w:color w:val="4F81BD" w:themeColor="accent1"/>
      <w:spacing w:val="15"/>
      <w:sz w:val="24"/>
      <w:szCs w:val="24"/>
    </w:rPr>
  </w:style>
  <w:style w:type="character" w:styleId="IntenseEmphasis">
    <w:name w:val="Intense Emphasis"/>
    <w:uiPriority w:val="21"/>
    <w:qFormat/>
    <w:rsid w:val="00F223EF"/>
    <w:rPr>
      <w:b/>
      <w:bCs/>
      <w:i/>
      <w:iCs/>
      <w:color w:val="4F81BD" w:themeColor="accent1"/>
    </w:rPr>
  </w:style>
  <w:style w:type="paragraph" w:styleId="ListParagraph">
    <w:name w:val="List Paragraph"/>
    <w:basedOn w:val="Normal"/>
    <w:uiPriority w:val="34"/>
    <w:qFormat/>
    <w:rsid w:val="00F223EF"/>
    <w:pPr>
      <w:ind w:left="720"/>
      <w:contextualSpacing/>
    </w:pPr>
  </w:style>
  <w:style w:type="character" w:customStyle="1" w:styleId="Heading7Char">
    <w:name w:val="Heading 7 Char"/>
    <w:basedOn w:val="DefaultParagraphFont"/>
    <w:link w:val="Heading7"/>
    <w:uiPriority w:val="9"/>
    <w:rsid w:val="00F223EF"/>
    <w:rPr>
      <w:rFonts w:eastAsia="Times New Roman" w:cs="Times New Roman"/>
      <w:szCs w:val="24"/>
      <w:lang w:val="en-GB" w:bidi="en-US"/>
    </w:rPr>
  </w:style>
  <w:style w:type="character" w:customStyle="1" w:styleId="Heading8Char">
    <w:name w:val="Heading 8 Char"/>
    <w:basedOn w:val="DefaultParagraphFont"/>
    <w:link w:val="Heading8"/>
    <w:uiPriority w:val="9"/>
    <w:rsid w:val="00F223EF"/>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F223EF"/>
    <w:rPr>
      <w:rFonts w:ascii="Cambria" w:eastAsia="Times New Roman" w:hAnsi="Cambria" w:cs="Times New Roman"/>
      <w:lang w:val="en-GB" w:bidi="en-US"/>
    </w:rPr>
  </w:style>
  <w:style w:type="character" w:styleId="Hyperlink">
    <w:name w:val="Hyperlink"/>
    <w:basedOn w:val="DefaultParagraphFont"/>
    <w:uiPriority w:val="99"/>
    <w:rsid w:val="00F223EF"/>
    <w:rPr>
      <w:rFonts w:ascii="Arial" w:hAnsi="Arial"/>
      <w:color w:val="3333FF"/>
      <w:u w:val="single"/>
    </w:rPr>
  </w:style>
  <w:style w:type="paragraph" w:customStyle="1" w:styleId="FSTitle">
    <w:name w:val="FS Title"/>
    <w:basedOn w:val="Normal"/>
    <w:qFormat/>
    <w:rsid w:val="00F223EF"/>
    <w:rPr>
      <w:rFonts w:cs="Tahoma"/>
      <w:bCs/>
      <w:sz w:val="32"/>
    </w:rPr>
  </w:style>
  <w:style w:type="paragraph" w:customStyle="1" w:styleId="FSDash">
    <w:name w:val="FS Dash"/>
    <w:basedOn w:val="Normal"/>
    <w:qFormat/>
    <w:rsid w:val="00F223EF"/>
    <w:pPr>
      <w:ind w:left="1134" w:hanging="567"/>
    </w:pPr>
  </w:style>
  <w:style w:type="paragraph" w:styleId="TOC1">
    <w:name w:val="toc 1"/>
    <w:basedOn w:val="Normal"/>
    <w:next w:val="Normal"/>
    <w:autoRedefine/>
    <w:uiPriority w:val="39"/>
    <w:rsid w:val="007907A6"/>
    <w:pPr>
      <w:tabs>
        <w:tab w:val="left" w:pos="426"/>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F223EF"/>
    <w:pPr>
      <w:ind w:left="220"/>
    </w:pPr>
    <w:rPr>
      <w:rFonts w:asciiTheme="minorHAnsi" w:hAnsiTheme="minorHAnsi"/>
      <w:smallCaps/>
      <w:sz w:val="20"/>
      <w:szCs w:val="20"/>
    </w:rPr>
  </w:style>
  <w:style w:type="character" w:styleId="PageNumber">
    <w:name w:val="page number"/>
    <w:basedOn w:val="DefaultParagraphFont"/>
    <w:rsid w:val="00F223EF"/>
    <w:rPr>
      <w:rFonts w:ascii="Arial" w:hAnsi="Arial"/>
    </w:rPr>
  </w:style>
  <w:style w:type="paragraph" w:styleId="TOC3">
    <w:name w:val="toc 3"/>
    <w:basedOn w:val="Normal"/>
    <w:next w:val="Normal"/>
    <w:autoRedefine/>
    <w:uiPriority w:val="39"/>
    <w:rsid w:val="00F223EF"/>
    <w:pPr>
      <w:ind w:left="440"/>
    </w:pPr>
    <w:rPr>
      <w:rFonts w:asciiTheme="minorHAnsi" w:hAnsiTheme="minorHAnsi"/>
      <w:i/>
      <w:iCs/>
      <w:sz w:val="20"/>
      <w:szCs w:val="20"/>
    </w:rPr>
  </w:style>
  <w:style w:type="paragraph" w:styleId="TOC4">
    <w:name w:val="toc 4"/>
    <w:basedOn w:val="Normal"/>
    <w:next w:val="Normal"/>
    <w:autoRedefine/>
    <w:semiHidden/>
    <w:rsid w:val="00F223EF"/>
    <w:pPr>
      <w:ind w:left="660"/>
    </w:pPr>
    <w:rPr>
      <w:rFonts w:asciiTheme="minorHAnsi" w:hAnsiTheme="minorHAnsi"/>
      <w:sz w:val="18"/>
      <w:szCs w:val="18"/>
    </w:rPr>
  </w:style>
  <w:style w:type="paragraph" w:styleId="TOC5">
    <w:name w:val="toc 5"/>
    <w:basedOn w:val="Normal"/>
    <w:next w:val="Normal"/>
    <w:autoRedefine/>
    <w:semiHidden/>
    <w:rsid w:val="00F223EF"/>
    <w:pPr>
      <w:ind w:left="880"/>
    </w:pPr>
    <w:rPr>
      <w:rFonts w:asciiTheme="minorHAnsi" w:hAnsiTheme="minorHAnsi"/>
      <w:sz w:val="18"/>
      <w:szCs w:val="18"/>
    </w:rPr>
  </w:style>
  <w:style w:type="character" w:styleId="FollowedHyperlink">
    <w:name w:val="FollowedHyperlink"/>
    <w:basedOn w:val="DefaultParagraphFont"/>
    <w:uiPriority w:val="99"/>
    <w:rsid w:val="00F223EF"/>
    <w:rPr>
      <w:rFonts w:ascii="Arial" w:hAnsi="Arial"/>
      <w:color w:val="3333FF"/>
      <w:sz w:val="22"/>
      <w:u w:val="single"/>
    </w:rPr>
  </w:style>
  <w:style w:type="paragraph" w:styleId="TOC6">
    <w:name w:val="toc 6"/>
    <w:basedOn w:val="Normal"/>
    <w:next w:val="Normal"/>
    <w:autoRedefine/>
    <w:semiHidden/>
    <w:rsid w:val="00F223EF"/>
    <w:pPr>
      <w:ind w:left="1100"/>
    </w:pPr>
    <w:rPr>
      <w:rFonts w:asciiTheme="minorHAnsi" w:hAnsiTheme="minorHAnsi"/>
      <w:sz w:val="18"/>
      <w:szCs w:val="18"/>
    </w:rPr>
  </w:style>
  <w:style w:type="paragraph" w:customStyle="1" w:styleId="Box1">
    <w:name w:val="Box 1"/>
    <w:basedOn w:val="Normal"/>
    <w:rsid w:val="00F223EF"/>
    <w:pPr>
      <w:tabs>
        <w:tab w:val="num" w:pos="120"/>
      </w:tabs>
      <w:ind w:left="113" w:hanging="113"/>
    </w:pPr>
    <w:rPr>
      <w:sz w:val="16"/>
    </w:rPr>
  </w:style>
  <w:style w:type="paragraph" w:customStyle="1" w:styleId="Box2">
    <w:name w:val="Box 2"/>
    <w:basedOn w:val="Normal"/>
    <w:rsid w:val="00F223EF"/>
    <w:pPr>
      <w:tabs>
        <w:tab w:val="left" w:pos="4608"/>
        <w:tab w:val="left" w:pos="9180"/>
        <w:tab w:val="left" w:pos="9216"/>
      </w:tabs>
      <w:jc w:val="center"/>
    </w:pPr>
    <w:rPr>
      <w:b/>
      <w:bCs/>
      <w:i/>
      <w:iCs/>
      <w:color w:val="000000"/>
      <w:sz w:val="16"/>
    </w:rPr>
  </w:style>
  <w:style w:type="paragraph" w:customStyle="1" w:styleId="Box3">
    <w:name w:val="Box 3"/>
    <w:basedOn w:val="Normal"/>
    <w:rsid w:val="00F223EF"/>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F223EF"/>
    <w:rPr>
      <w:b/>
      <w:bCs/>
      <w:iCs w:val="0"/>
    </w:rPr>
  </w:style>
  <w:style w:type="paragraph" w:customStyle="1" w:styleId="142tabletext10">
    <w:name w:val="1.4.2 table text1"/>
    <w:basedOn w:val="Normal"/>
    <w:rsid w:val="00F223EF"/>
    <w:pPr>
      <w:ind w:left="142" w:hanging="142"/>
    </w:pPr>
    <w:rPr>
      <w:smallCaps/>
      <w:sz w:val="20"/>
      <w:szCs w:val="20"/>
    </w:rPr>
  </w:style>
  <w:style w:type="paragraph" w:customStyle="1" w:styleId="142tabletext20">
    <w:name w:val="1.4.2 table text2"/>
    <w:basedOn w:val="142tabletext10"/>
    <w:rsid w:val="00F223EF"/>
    <w:pPr>
      <w:jc w:val="right"/>
    </w:pPr>
  </w:style>
  <w:style w:type="paragraph" w:customStyle="1" w:styleId="Footnote">
    <w:name w:val="Footnote"/>
    <w:basedOn w:val="Normal"/>
    <w:rsid w:val="00F223EF"/>
    <w:pPr>
      <w:tabs>
        <w:tab w:val="left" w:pos="851"/>
      </w:tabs>
    </w:pPr>
    <w:rPr>
      <w:sz w:val="20"/>
      <w:szCs w:val="20"/>
    </w:rPr>
  </w:style>
  <w:style w:type="paragraph" w:customStyle="1" w:styleId="MiscellaneousHeading">
    <w:name w:val="Miscellaneous Heading"/>
    <w:basedOn w:val="Normal"/>
    <w:next w:val="Normal"/>
    <w:rsid w:val="00F223EF"/>
    <w:rPr>
      <w:b/>
      <w:szCs w:val="20"/>
    </w:rPr>
  </w:style>
  <w:style w:type="paragraph" w:customStyle="1" w:styleId="TableHeading">
    <w:name w:val="Table Heading"/>
    <w:basedOn w:val="Normal"/>
    <w:next w:val="Normal"/>
    <w:rsid w:val="00F223EF"/>
    <w:pPr>
      <w:tabs>
        <w:tab w:val="left" w:pos="851"/>
      </w:tabs>
      <w:jc w:val="center"/>
    </w:pPr>
    <w:rPr>
      <w:b/>
      <w:szCs w:val="20"/>
    </w:rPr>
  </w:style>
  <w:style w:type="paragraph" w:styleId="TOC7">
    <w:name w:val="toc 7"/>
    <w:basedOn w:val="Normal"/>
    <w:next w:val="Normal"/>
    <w:autoRedefine/>
    <w:semiHidden/>
    <w:rsid w:val="00F223EF"/>
    <w:pPr>
      <w:ind w:left="1320"/>
    </w:pPr>
    <w:rPr>
      <w:rFonts w:asciiTheme="minorHAnsi" w:hAnsiTheme="minorHAnsi"/>
      <w:sz w:val="18"/>
      <w:szCs w:val="18"/>
    </w:rPr>
  </w:style>
  <w:style w:type="paragraph" w:styleId="TOC8">
    <w:name w:val="toc 8"/>
    <w:basedOn w:val="Normal"/>
    <w:next w:val="Normal"/>
    <w:autoRedefine/>
    <w:semiHidden/>
    <w:rsid w:val="00F223EF"/>
    <w:pPr>
      <w:ind w:left="1540"/>
    </w:pPr>
    <w:rPr>
      <w:rFonts w:asciiTheme="minorHAnsi" w:hAnsiTheme="minorHAnsi"/>
      <w:sz w:val="18"/>
      <w:szCs w:val="18"/>
    </w:rPr>
  </w:style>
  <w:style w:type="paragraph" w:styleId="TOC9">
    <w:name w:val="toc 9"/>
    <w:basedOn w:val="Normal"/>
    <w:next w:val="Normal"/>
    <w:autoRedefine/>
    <w:semiHidden/>
    <w:rsid w:val="00F223EF"/>
    <w:pPr>
      <w:ind w:left="1760"/>
    </w:pPr>
    <w:rPr>
      <w:rFonts w:asciiTheme="minorHAnsi" w:hAnsiTheme="minorHAnsi"/>
      <w:sz w:val="18"/>
      <w:szCs w:val="18"/>
    </w:rPr>
  </w:style>
  <w:style w:type="character" w:styleId="FootnoteReference">
    <w:name w:val="footnote reference"/>
    <w:basedOn w:val="DefaultParagraphFont"/>
    <w:semiHidden/>
    <w:rsid w:val="00F223EF"/>
    <w:rPr>
      <w:vertAlign w:val="superscript"/>
    </w:rPr>
  </w:style>
  <w:style w:type="paragraph" w:customStyle="1" w:styleId="FSDecisionHeading">
    <w:name w:val="FS Decision Heading"/>
    <w:basedOn w:val="Normal"/>
    <w:next w:val="FSDecisiontext"/>
    <w:qFormat/>
    <w:rsid w:val="00F223EF"/>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F223EF"/>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F223EF"/>
    <w:rPr>
      <w:rFonts w:ascii="Tahoma" w:hAnsi="Tahoma" w:cs="Tahoma"/>
      <w:sz w:val="16"/>
      <w:szCs w:val="16"/>
    </w:rPr>
  </w:style>
  <w:style w:type="character" w:customStyle="1" w:styleId="BalloonTextChar">
    <w:name w:val="Balloon Text Char"/>
    <w:basedOn w:val="DefaultParagraphFont"/>
    <w:link w:val="BalloonText"/>
    <w:uiPriority w:val="99"/>
    <w:semiHidden/>
    <w:rsid w:val="00F223EF"/>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F223EF"/>
    <w:pPr>
      <w:outlineLvl w:val="9"/>
    </w:pPr>
  </w:style>
  <w:style w:type="paragraph" w:customStyle="1" w:styleId="FSBullet">
    <w:name w:val="FS Bullet"/>
    <w:basedOn w:val="Normal"/>
    <w:next w:val="Normal"/>
    <w:link w:val="FSBulletChar"/>
    <w:qFormat/>
    <w:rsid w:val="00F223EF"/>
    <w:pPr>
      <w:numPr>
        <w:numId w:val="15"/>
      </w:numPr>
      <w:ind w:left="567" w:hanging="567"/>
    </w:pPr>
    <w:rPr>
      <w:rFonts w:cs="Arial"/>
    </w:rPr>
  </w:style>
  <w:style w:type="character" w:customStyle="1" w:styleId="FSBulletChar">
    <w:name w:val="FS Bullet Char"/>
    <w:basedOn w:val="DefaultParagraphFont"/>
    <w:link w:val="FSBullet"/>
    <w:rsid w:val="00F223EF"/>
    <w:rPr>
      <w:rFonts w:eastAsia="Times New Roman"/>
      <w:szCs w:val="24"/>
      <w:lang w:val="en-GB" w:bidi="en-US"/>
    </w:rPr>
  </w:style>
  <w:style w:type="table" w:styleId="TableGrid">
    <w:name w:val="Table Grid"/>
    <w:basedOn w:val="TableNormal"/>
    <w:uiPriority w:val="59"/>
    <w:rsid w:val="00F223EF"/>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F223EF"/>
    <w:rPr>
      <w:rFonts w:cs="Arial"/>
      <w:b/>
    </w:rPr>
  </w:style>
  <w:style w:type="paragraph" w:customStyle="1" w:styleId="FSTableHeading">
    <w:name w:val="FS Table Heading"/>
    <w:basedOn w:val="Normal"/>
    <w:qFormat/>
    <w:rsid w:val="00F223EF"/>
    <w:pPr>
      <w:jc w:val="center"/>
    </w:pPr>
    <w:rPr>
      <w:rFonts w:ascii="Arial Bold" w:hAnsi="Arial Bold" w:cs="Arial"/>
      <w:b/>
      <w:sz w:val="20"/>
      <w:szCs w:val="20"/>
    </w:rPr>
  </w:style>
  <w:style w:type="paragraph" w:customStyle="1" w:styleId="FSTableText">
    <w:name w:val="FS Table Text"/>
    <w:basedOn w:val="Normal"/>
    <w:qFormat/>
    <w:rsid w:val="00F223EF"/>
    <w:rPr>
      <w:rFonts w:cs="Arial"/>
      <w:sz w:val="20"/>
      <w:szCs w:val="20"/>
    </w:rPr>
  </w:style>
  <w:style w:type="paragraph" w:customStyle="1" w:styleId="FSFigureTitle">
    <w:name w:val="FS Figure Title"/>
    <w:basedOn w:val="Normal"/>
    <w:next w:val="Normal"/>
    <w:qFormat/>
    <w:rsid w:val="00F223EF"/>
    <w:rPr>
      <w:rFonts w:cs="Arial"/>
      <w:i/>
    </w:rPr>
  </w:style>
  <w:style w:type="character" w:styleId="CommentReference">
    <w:name w:val="annotation reference"/>
    <w:basedOn w:val="DefaultParagraphFont"/>
    <w:rsid w:val="00F223EF"/>
    <w:rPr>
      <w:sz w:val="16"/>
      <w:szCs w:val="16"/>
    </w:rPr>
  </w:style>
  <w:style w:type="paragraph" w:styleId="CommentText">
    <w:name w:val="annotation text"/>
    <w:basedOn w:val="Normal"/>
    <w:link w:val="CommentTextChar"/>
    <w:rsid w:val="00F223EF"/>
    <w:rPr>
      <w:sz w:val="20"/>
      <w:szCs w:val="20"/>
    </w:rPr>
  </w:style>
  <w:style w:type="character" w:customStyle="1" w:styleId="CommentTextChar">
    <w:name w:val="Comment Text Char"/>
    <w:basedOn w:val="DefaultParagraphFont"/>
    <w:link w:val="CommentText"/>
    <w:rsid w:val="00F223EF"/>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F223EF"/>
    <w:rPr>
      <w:b/>
      <w:bCs/>
    </w:rPr>
  </w:style>
  <w:style w:type="character" w:customStyle="1" w:styleId="CommentSubjectChar">
    <w:name w:val="Comment Subject Char"/>
    <w:basedOn w:val="CommentTextChar"/>
    <w:link w:val="CommentSubject"/>
    <w:uiPriority w:val="99"/>
    <w:rsid w:val="00F223EF"/>
    <w:rPr>
      <w:rFonts w:eastAsia="Times New Roman" w:cs="Times New Roman"/>
      <w:b/>
      <w:bCs/>
      <w:sz w:val="20"/>
      <w:szCs w:val="20"/>
      <w:lang w:val="en-GB" w:bidi="en-US"/>
    </w:rPr>
  </w:style>
  <w:style w:type="paragraph" w:styleId="DocumentMap">
    <w:name w:val="Document Map"/>
    <w:basedOn w:val="Normal"/>
    <w:link w:val="DocumentMapChar"/>
    <w:uiPriority w:val="99"/>
    <w:rsid w:val="00F223EF"/>
    <w:rPr>
      <w:rFonts w:ascii="Tahoma" w:hAnsi="Tahoma" w:cs="Tahoma"/>
      <w:sz w:val="16"/>
      <w:szCs w:val="16"/>
    </w:rPr>
  </w:style>
  <w:style w:type="character" w:customStyle="1" w:styleId="DocumentMapChar">
    <w:name w:val="Document Map Char"/>
    <w:basedOn w:val="DefaultParagraphFont"/>
    <w:link w:val="DocumentMap"/>
    <w:uiPriority w:val="99"/>
    <w:rsid w:val="00F223EF"/>
    <w:rPr>
      <w:rFonts w:ascii="Tahoma" w:eastAsia="Times New Roman" w:hAnsi="Tahoma" w:cs="Tahoma"/>
      <w:sz w:val="16"/>
      <w:szCs w:val="16"/>
      <w:lang w:val="en-GB" w:bidi="en-US"/>
    </w:rPr>
  </w:style>
  <w:style w:type="table" w:styleId="MediumShading1-Accent3">
    <w:name w:val="Medium Shading 1 Accent 3"/>
    <w:basedOn w:val="TableNormal"/>
    <w:uiPriority w:val="63"/>
    <w:rsid w:val="00F223EF"/>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heading">
    <w:name w:val="heading"/>
    <w:basedOn w:val="Normal"/>
    <w:rsid w:val="00F223EF"/>
    <w:pPr>
      <w:tabs>
        <w:tab w:val="left" w:pos="840"/>
      </w:tabs>
      <w:ind w:left="851" w:hanging="851"/>
    </w:pPr>
    <w:rPr>
      <w:b/>
      <w:caps/>
      <w:szCs w:val="20"/>
    </w:rPr>
  </w:style>
  <w:style w:type="paragraph" w:customStyle="1" w:styleId="Bullet">
    <w:name w:val="Bullet"/>
    <w:basedOn w:val="Normal"/>
    <w:next w:val="Normal"/>
    <w:link w:val="BulletChar"/>
    <w:rsid w:val="00F223EF"/>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F223EF"/>
    <w:rPr>
      <w:rFonts w:ascii="Times New Roman" w:hAnsi="Times New Roman" w:cstheme="minorBidi"/>
      <w:szCs w:val="24"/>
      <w:lang w:val="en-GB"/>
    </w:rPr>
  </w:style>
  <w:style w:type="paragraph" w:styleId="NormalWeb">
    <w:name w:val="Normal (Web)"/>
    <w:basedOn w:val="Normal"/>
    <w:uiPriority w:val="99"/>
    <w:rsid w:val="00F223EF"/>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223EF"/>
    <w:rPr>
      <w:rFonts w:ascii="Arial" w:hAnsi="Arial" w:cs="Arial"/>
      <w:color w:val="000000"/>
      <w:sz w:val="20"/>
      <w:szCs w:val="20"/>
    </w:rPr>
  </w:style>
  <w:style w:type="paragraph" w:styleId="HTMLPreformatted">
    <w:name w:val="HTML Preformatted"/>
    <w:basedOn w:val="Normal"/>
    <w:link w:val="HTMLPreformattedChar"/>
    <w:rsid w:val="00F22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223EF"/>
    <w:rPr>
      <w:rFonts w:ascii="Courier New" w:hAnsi="Courier New" w:cs="Courier New"/>
      <w:sz w:val="20"/>
      <w:lang w:eastAsia="en-AU"/>
    </w:rPr>
  </w:style>
  <w:style w:type="paragraph" w:customStyle="1" w:styleId="Default">
    <w:name w:val="Default"/>
    <w:rsid w:val="00F223EF"/>
    <w:pPr>
      <w:autoSpaceDE w:val="0"/>
      <w:autoSpaceDN w:val="0"/>
      <w:adjustRightInd w:val="0"/>
    </w:pPr>
    <w:rPr>
      <w:rFonts w:ascii="CVKFAZ+Helvetica-Bold" w:eastAsia="Times New Roman" w:hAnsi="CVKFAZ+Helvetica-Bold" w:cs="CVKFAZ+Helvetica-Bold"/>
      <w:color w:val="000000"/>
      <w:sz w:val="24"/>
      <w:szCs w:val="24"/>
      <w:lang w:eastAsia="en-AU"/>
    </w:rPr>
  </w:style>
  <w:style w:type="paragraph" w:styleId="Title">
    <w:name w:val="Title"/>
    <w:basedOn w:val="Normal"/>
    <w:next w:val="Normal"/>
    <w:link w:val="TitleChar"/>
    <w:uiPriority w:val="10"/>
    <w:qFormat/>
    <w:rsid w:val="00F223EF"/>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223E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F223EF"/>
    <w:rPr>
      <w:b/>
      <w:bCs/>
    </w:rPr>
  </w:style>
  <w:style w:type="character" w:styleId="Emphasis">
    <w:name w:val="Emphasis"/>
    <w:uiPriority w:val="20"/>
    <w:qFormat/>
    <w:rsid w:val="00F223EF"/>
    <w:rPr>
      <w:i/>
      <w:iCs/>
    </w:rPr>
  </w:style>
  <w:style w:type="paragraph" w:styleId="Quote">
    <w:name w:val="Quote"/>
    <w:basedOn w:val="Normal"/>
    <w:next w:val="Normal"/>
    <w:link w:val="QuoteChar"/>
    <w:uiPriority w:val="29"/>
    <w:qFormat/>
    <w:rsid w:val="00F223EF"/>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223EF"/>
    <w:rPr>
      <w:rFonts w:asciiTheme="minorHAnsi" w:hAnsiTheme="minorHAnsi" w:cstheme="minorBidi"/>
      <w:i/>
      <w:iCs/>
      <w:color w:val="000000" w:themeColor="text1"/>
    </w:rPr>
  </w:style>
  <w:style w:type="paragraph" w:styleId="IntenseQuote">
    <w:name w:val="Intense Quote"/>
    <w:basedOn w:val="Normal"/>
    <w:next w:val="Normal"/>
    <w:link w:val="IntenseQuoteChar"/>
    <w:uiPriority w:val="30"/>
    <w:qFormat/>
    <w:rsid w:val="00F223EF"/>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223EF"/>
    <w:rPr>
      <w:rFonts w:asciiTheme="minorHAnsi" w:hAnsiTheme="minorHAnsi" w:cstheme="minorBidi"/>
      <w:b/>
      <w:bCs/>
      <w:i/>
      <w:iCs/>
      <w:color w:val="4F81BD" w:themeColor="accent1"/>
    </w:rPr>
  </w:style>
  <w:style w:type="character" w:styleId="SubtleEmphasis">
    <w:name w:val="Subtle Emphasis"/>
    <w:uiPriority w:val="19"/>
    <w:qFormat/>
    <w:rsid w:val="00F223EF"/>
    <w:rPr>
      <w:i/>
      <w:iCs/>
      <w:color w:val="808080" w:themeColor="text1" w:themeTint="7F"/>
    </w:rPr>
  </w:style>
  <w:style w:type="character" w:styleId="SubtleReference">
    <w:name w:val="Subtle Reference"/>
    <w:uiPriority w:val="31"/>
    <w:qFormat/>
    <w:rsid w:val="00F223EF"/>
    <w:rPr>
      <w:smallCaps/>
      <w:color w:val="C0504D" w:themeColor="accent2"/>
      <w:u w:val="single"/>
    </w:rPr>
  </w:style>
  <w:style w:type="character" w:styleId="IntenseReference">
    <w:name w:val="Intense Reference"/>
    <w:uiPriority w:val="32"/>
    <w:qFormat/>
    <w:rsid w:val="00F223EF"/>
    <w:rPr>
      <w:b/>
      <w:bCs/>
      <w:smallCaps/>
      <w:color w:val="C0504D" w:themeColor="accent2"/>
      <w:spacing w:val="5"/>
      <w:u w:val="single"/>
    </w:rPr>
  </w:style>
  <w:style w:type="character" w:styleId="BookTitle">
    <w:name w:val="Book Title"/>
    <w:uiPriority w:val="33"/>
    <w:qFormat/>
    <w:rsid w:val="00F223EF"/>
    <w:rPr>
      <w:b/>
      <w:bCs/>
      <w:smallCaps/>
      <w:spacing w:val="5"/>
    </w:rPr>
  </w:style>
  <w:style w:type="table" w:customStyle="1" w:styleId="Style1">
    <w:name w:val="Style1"/>
    <w:basedOn w:val="TableNormal"/>
    <w:uiPriority w:val="99"/>
    <w:qFormat/>
    <w:rsid w:val="00F223EF"/>
    <w:rPr>
      <w:rFonts w:asciiTheme="minorHAnsi" w:hAnsiTheme="minorHAnsi" w:cstheme="minorBidi"/>
    </w:rPr>
    <w:tblPr/>
  </w:style>
  <w:style w:type="table" w:styleId="MediumList1-Accent3">
    <w:name w:val="Medium List 1 Accent 3"/>
    <w:basedOn w:val="TableNormal"/>
    <w:uiPriority w:val="65"/>
    <w:rsid w:val="00F223EF"/>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F223EF"/>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F223EF"/>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F223EF"/>
    <w:rPr>
      <w:rFonts w:asciiTheme="minorHAnsi" w:hAnsiTheme="minorHAnsi" w:cstheme="minorBidi"/>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F223EF"/>
    <w:pPr>
      <w:numPr>
        <w:numId w:val="19"/>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F223EF"/>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F223EF"/>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F223EF"/>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F223EF"/>
  </w:style>
  <w:style w:type="character" w:customStyle="1" w:styleId="criteria-value1">
    <w:name w:val="criteria-value1"/>
    <w:basedOn w:val="DefaultParagraphFont"/>
    <w:rsid w:val="00F223EF"/>
    <w:rPr>
      <w:b/>
      <w:bCs/>
      <w:color w:val="CC0000"/>
    </w:rPr>
  </w:style>
  <w:style w:type="character" w:customStyle="1" w:styleId="criteria-boolean">
    <w:name w:val="criteria-boolean"/>
    <w:basedOn w:val="DefaultParagraphFont"/>
    <w:rsid w:val="00F223EF"/>
  </w:style>
  <w:style w:type="character" w:customStyle="1" w:styleId="criteria-location">
    <w:name w:val="criteria-location"/>
    <w:basedOn w:val="DefaultParagraphFont"/>
    <w:rsid w:val="00F223EF"/>
  </w:style>
  <w:style w:type="paragraph" w:customStyle="1" w:styleId="Level2">
    <w:name w:val="Level 2"/>
    <w:basedOn w:val="Heading2"/>
    <w:link w:val="Level2Char"/>
    <w:rsid w:val="00F223EF"/>
    <w:pPr>
      <w:keepLines/>
    </w:pPr>
    <w:rPr>
      <w:szCs w:val="28"/>
      <w:lang w:bidi="en-US"/>
    </w:rPr>
  </w:style>
  <w:style w:type="character" w:customStyle="1" w:styleId="Level2Char">
    <w:name w:val="Level 2 Char"/>
    <w:basedOn w:val="Heading2Char"/>
    <w:link w:val="Level2"/>
    <w:rsid w:val="00F223EF"/>
    <w:rPr>
      <w:rFonts w:eastAsiaTheme="majorEastAsia"/>
      <w:b/>
      <w:bCs/>
      <w:sz w:val="28"/>
      <w:szCs w:val="28"/>
      <w:lang w:val="en-GB" w:bidi="en-US"/>
    </w:rPr>
  </w:style>
  <w:style w:type="paragraph" w:customStyle="1" w:styleId="Level1">
    <w:name w:val="Level 1"/>
    <w:basedOn w:val="Heading1"/>
    <w:link w:val="Level1Char"/>
    <w:rsid w:val="00F223EF"/>
    <w:pPr>
      <w:keepNext w:val="0"/>
      <w:ind w:left="0" w:firstLine="0"/>
    </w:pPr>
    <w:rPr>
      <w:kern w:val="36"/>
      <w:szCs w:val="36"/>
      <w:u w:val="single"/>
      <w:lang w:eastAsia="en-AU" w:bidi="en-US"/>
    </w:rPr>
  </w:style>
  <w:style w:type="character" w:customStyle="1" w:styleId="Level1Char">
    <w:name w:val="Level 1 Char"/>
    <w:basedOn w:val="Heading1Char"/>
    <w:link w:val="Level1"/>
    <w:rsid w:val="00F223EF"/>
    <w:rPr>
      <w:rFonts w:eastAsia="Times New Roman" w:cs="Times New Roman"/>
      <w:b/>
      <w:bCs/>
      <w:kern w:val="36"/>
      <w:sz w:val="36"/>
      <w:szCs w:val="36"/>
      <w:u w:val="single"/>
      <w:lang w:val="en-GB" w:eastAsia="en-AU" w:bidi="en-US"/>
    </w:rPr>
  </w:style>
  <w:style w:type="paragraph" w:customStyle="1" w:styleId="Level3">
    <w:name w:val="Level 3"/>
    <w:basedOn w:val="Heading3"/>
    <w:link w:val="Level3Char"/>
    <w:rsid w:val="00F223EF"/>
    <w:pPr>
      <w:keepLines/>
    </w:pPr>
    <w:rPr>
      <w:lang w:bidi="en-US"/>
    </w:rPr>
  </w:style>
  <w:style w:type="character" w:customStyle="1" w:styleId="Level3Char">
    <w:name w:val="Level 3 Char"/>
    <w:basedOn w:val="Heading3Char"/>
    <w:link w:val="Level3"/>
    <w:rsid w:val="00F223EF"/>
    <w:rPr>
      <w:rFonts w:eastAsiaTheme="majorEastAsia" w:cs="Times New Roman"/>
      <w:b/>
      <w:bCs/>
      <w:color w:val="000000" w:themeColor="text1"/>
      <w:szCs w:val="24"/>
      <w:lang w:val="en-GB" w:eastAsia="en-AU" w:bidi="en-US"/>
    </w:rPr>
  </w:style>
  <w:style w:type="paragraph" w:customStyle="1" w:styleId="Level4">
    <w:name w:val="Level 4"/>
    <w:basedOn w:val="Heading4"/>
    <w:link w:val="Level4Char"/>
    <w:rsid w:val="00F223EF"/>
    <w:pPr>
      <w:keepLines/>
      <w:ind w:left="0" w:firstLine="0"/>
    </w:pPr>
    <w:rPr>
      <w:lang w:bidi="en-US"/>
    </w:rPr>
  </w:style>
  <w:style w:type="character" w:customStyle="1" w:styleId="Level4Char">
    <w:name w:val="Level 4 Char"/>
    <w:basedOn w:val="Heading4Char"/>
    <w:link w:val="Level4"/>
    <w:rsid w:val="00F223EF"/>
    <w:rPr>
      <w:rFonts w:eastAsiaTheme="majorEastAsia" w:cs="Times New Roman"/>
      <w:b/>
      <w:bCs/>
      <w:i/>
      <w:iCs/>
      <w:lang w:val="en-GB" w:bidi="en-US"/>
    </w:rPr>
  </w:style>
  <w:style w:type="paragraph" w:customStyle="1" w:styleId="Level5">
    <w:name w:val="Level 5"/>
    <w:basedOn w:val="Heading5"/>
    <w:link w:val="Level5Char"/>
    <w:rsid w:val="00F223EF"/>
    <w:pPr>
      <w:keepLines/>
      <w:ind w:left="0" w:firstLine="0"/>
    </w:pPr>
    <w:rPr>
      <w:u w:val="single"/>
      <w:lang w:bidi="en-US"/>
    </w:rPr>
  </w:style>
  <w:style w:type="character" w:customStyle="1" w:styleId="Level5Char">
    <w:name w:val="Level 5 Char"/>
    <w:basedOn w:val="Heading5Char"/>
    <w:link w:val="Level5"/>
    <w:rsid w:val="00F223EF"/>
    <w:rPr>
      <w:rFonts w:eastAsiaTheme="majorEastAsia" w:cs="Times New Roman"/>
      <w:i/>
      <w:u w:val="single"/>
      <w:lang w:val="en-GB" w:bidi="en-US"/>
    </w:rPr>
  </w:style>
  <w:style w:type="paragraph" w:customStyle="1" w:styleId="One">
    <w:name w:val="One"/>
    <w:basedOn w:val="Heading1"/>
    <w:link w:val="OneChar"/>
    <w:autoRedefine/>
    <w:qFormat/>
    <w:rsid w:val="00F223EF"/>
    <w:pPr>
      <w:keepNext w:val="0"/>
      <w:spacing w:line="264" w:lineRule="atLeast"/>
      <w:jc w:val="both"/>
    </w:pPr>
    <w:rPr>
      <w:rFonts w:ascii="Tahoma" w:hAnsi="Tahoma" w:cs="Tahoma"/>
      <w:kern w:val="36"/>
      <w:sz w:val="28"/>
      <w:lang w:eastAsia="en-AU" w:bidi="en-US"/>
    </w:rPr>
  </w:style>
  <w:style w:type="character" w:customStyle="1" w:styleId="OneChar">
    <w:name w:val="One Char"/>
    <w:basedOn w:val="Heading1Char"/>
    <w:link w:val="One"/>
    <w:rsid w:val="00F223EF"/>
    <w:rPr>
      <w:rFonts w:ascii="Tahoma" w:eastAsia="Times New Roman" w:hAnsi="Tahoma" w:cs="Tahoma"/>
      <w:b/>
      <w:bCs/>
      <w:kern w:val="36"/>
      <w:sz w:val="28"/>
      <w:szCs w:val="28"/>
      <w:lang w:val="en-GB" w:eastAsia="en-AU" w:bidi="en-US"/>
    </w:rPr>
  </w:style>
  <w:style w:type="paragraph" w:customStyle="1" w:styleId="Two">
    <w:name w:val="Two"/>
    <w:basedOn w:val="Heading2"/>
    <w:link w:val="TwoChar"/>
    <w:autoRedefine/>
    <w:qFormat/>
    <w:rsid w:val="00346D6F"/>
    <w:pPr>
      <w:keepLines/>
    </w:pPr>
    <w:rPr>
      <w:szCs w:val="28"/>
      <w:lang w:bidi="en-US"/>
    </w:rPr>
  </w:style>
  <w:style w:type="character" w:customStyle="1" w:styleId="TwoChar">
    <w:name w:val="Two Char"/>
    <w:basedOn w:val="Heading2Char"/>
    <w:link w:val="Two"/>
    <w:rsid w:val="00346D6F"/>
    <w:rPr>
      <w:rFonts w:eastAsiaTheme="majorEastAsia"/>
      <w:b/>
      <w:bCs/>
      <w:sz w:val="28"/>
      <w:szCs w:val="28"/>
      <w:lang w:val="en-GB" w:bidi="en-US"/>
    </w:rPr>
  </w:style>
  <w:style w:type="paragraph" w:customStyle="1" w:styleId="Three">
    <w:name w:val="Three"/>
    <w:basedOn w:val="Heading3"/>
    <w:link w:val="ThreeChar"/>
    <w:autoRedefine/>
    <w:qFormat/>
    <w:rsid w:val="00F223EF"/>
    <w:pPr>
      <w:keepLines/>
    </w:pPr>
    <w:rPr>
      <w:i/>
      <w:lang w:bidi="en-US"/>
    </w:rPr>
  </w:style>
  <w:style w:type="character" w:customStyle="1" w:styleId="ThreeChar">
    <w:name w:val="Three Char"/>
    <w:basedOn w:val="Heading3Char"/>
    <w:link w:val="Three"/>
    <w:rsid w:val="00F223EF"/>
    <w:rPr>
      <w:rFonts w:eastAsiaTheme="majorEastAsia" w:cs="Times New Roman"/>
      <w:b/>
      <w:bCs/>
      <w:i/>
      <w:color w:val="000000" w:themeColor="text1"/>
      <w:szCs w:val="24"/>
      <w:lang w:val="en-GB" w:eastAsia="en-AU" w:bidi="en-US"/>
    </w:rPr>
  </w:style>
  <w:style w:type="paragraph" w:customStyle="1" w:styleId="Four">
    <w:name w:val="Four"/>
    <w:basedOn w:val="Heading4"/>
    <w:link w:val="FourChar"/>
    <w:autoRedefine/>
    <w:qFormat/>
    <w:rsid w:val="00F223EF"/>
    <w:pPr>
      <w:keepLines/>
      <w:ind w:left="862" w:hanging="862"/>
    </w:pPr>
    <w:rPr>
      <w:lang w:bidi="en-US"/>
    </w:rPr>
  </w:style>
  <w:style w:type="character" w:customStyle="1" w:styleId="FourChar">
    <w:name w:val="Four Char"/>
    <w:basedOn w:val="Heading4Char"/>
    <w:link w:val="Four"/>
    <w:rsid w:val="00F223EF"/>
    <w:rPr>
      <w:rFonts w:eastAsiaTheme="majorEastAsia" w:cs="Times New Roman"/>
      <w:b/>
      <w:bCs/>
      <w:i/>
      <w:iCs/>
      <w:lang w:val="en-GB" w:bidi="en-US"/>
    </w:rPr>
  </w:style>
  <w:style w:type="paragraph" w:customStyle="1" w:styleId="Five">
    <w:name w:val="Five"/>
    <w:basedOn w:val="Heading5"/>
    <w:link w:val="FiveChar"/>
    <w:autoRedefine/>
    <w:qFormat/>
    <w:rsid w:val="00F223EF"/>
    <w:pPr>
      <w:keepLines/>
      <w:ind w:left="1009" w:hanging="1009"/>
    </w:pPr>
    <w:rPr>
      <w:u w:val="single"/>
      <w:lang w:bidi="en-US"/>
    </w:rPr>
  </w:style>
  <w:style w:type="character" w:customStyle="1" w:styleId="FiveChar">
    <w:name w:val="Five Char"/>
    <w:basedOn w:val="Heading5Char"/>
    <w:link w:val="Five"/>
    <w:rsid w:val="00F223EF"/>
    <w:rPr>
      <w:rFonts w:eastAsiaTheme="majorEastAsia" w:cs="Times New Roman"/>
      <w:i/>
      <w:u w:val="single"/>
      <w:lang w:val="en-GB" w:bidi="en-US"/>
    </w:rPr>
  </w:style>
  <w:style w:type="table" w:customStyle="1" w:styleId="LightShading1">
    <w:name w:val="Light Shading1"/>
    <w:basedOn w:val="TableNormal"/>
    <w:uiPriority w:val="60"/>
    <w:rsid w:val="00F223EF"/>
    <w:pPr>
      <w:ind w:left="720" w:hanging="720"/>
    </w:pPr>
    <w:rPr>
      <w:rFonts w:asciiTheme="minorHAnsi" w:hAnsiTheme="minorHAnsi" w:cstheme="minorBid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F223EF"/>
  </w:style>
  <w:style w:type="paragraph" w:styleId="EndnoteText">
    <w:name w:val="endnote text"/>
    <w:basedOn w:val="Normal"/>
    <w:link w:val="EndnoteTextChar"/>
    <w:rsid w:val="00F223EF"/>
    <w:rPr>
      <w:sz w:val="20"/>
      <w:szCs w:val="20"/>
    </w:rPr>
  </w:style>
  <w:style w:type="character" w:customStyle="1" w:styleId="EndnoteTextChar">
    <w:name w:val="Endnote Text Char"/>
    <w:basedOn w:val="DefaultParagraphFont"/>
    <w:link w:val="EndnoteText"/>
    <w:rsid w:val="00F223EF"/>
    <w:rPr>
      <w:rFonts w:eastAsia="Times New Roman" w:cs="Times New Roman"/>
      <w:sz w:val="20"/>
      <w:szCs w:val="20"/>
      <w:lang w:val="en-GB" w:bidi="en-US"/>
    </w:rPr>
  </w:style>
  <w:style w:type="character" w:styleId="EndnoteReference">
    <w:name w:val="endnote reference"/>
    <w:basedOn w:val="DefaultParagraphFont"/>
    <w:rsid w:val="00F223EF"/>
    <w:rPr>
      <w:vertAlign w:val="superscript"/>
    </w:rPr>
  </w:style>
  <w:style w:type="character" w:customStyle="1" w:styleId="highlight">
    <w:name w:val="highlight"/>
    <w:basedOn w:val="DefaultParagraphFont"/>
    <w:rsid w:val="00F223EF"/>
  </w:style>
  <w:style w:type="character" w:styleId="PlaceholderText">
    <w:name w:val="Placeholder Text"/>
    <w:basedOn w:val="DefaultParagraphFont"/>
    <w:uiPriority w:val="99"/>
    <w:semiHidden/>
    <w:rsid w:val="00F223EF"/>
    <w:rPr>
      <w:color w:val="808080"/>
    </w:rPr>
  </w:style>
  <w:style w:type="table" w:styleId="TableColorful1">
    <w:name w:val="Table Colorful 1"/>
    <w:basedOn w:val="TableNormal"/>
    <w:rsid w:val="00F223EF"/>
    <w:pPr>
      <w:widowControl w:val="0"/>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F223EF"/>
    <w:pPr>
      <w:ind w:left="1134" w:hanging="567"/>
    </w:pPr>
    <w:rPr>
      <w:rFonts w:ascii="Times New Roman" w:hAnsi="Times New Roman"/>
      <w:sz w:val="24"/>
      <w:lang w:bidi="ar-SA"/>
    </w:rPr>
  </w:style>
  <w:style w:type="character" w:customStyle="1" w:styleId="DashpointChar">
    <w:name w:val="Dash point Char"/>
    <w:basedOn w:val="DefaultParagraphFont"/>
    <w:link w:val="Dashpoint"/>
    <w:rsid w:val="00F223EF"/>
    <w:rPr>
      <w:rFonts w:ascii="Times New Roman" w:eastAsia="Times New Roman" w:hAnsi="Times New Roman" w:cs="Times New Roman"/>
      <w:sz w:val="24"/>
      <w:szCs w:val="24"/>
      <w:lang w:val="en-GB"/>
    </w:rPr>
  </w:style>
  <w:style w:type="character" w:customStyle="1" w:styleId="DefinitionChar">
    <w:name w:val="Definition Char"/>
    <w:basedOn w:val="DefaultParagraphFont"/>
    <w:link w:val="Definition"/>
    <w:rsid w:val="00F223EF"/>
    <w:rPr>
      <w:rFonts w:eastAsia="Times New Roman" w:cs="Times New Roman"/>
      <w:szCs w:val="20"/>
      <w:lang w:val="en-GB" w:bidi="en-US"/>
    </w:rPr>
  </w:style>
  <w:style w:type="character" w:customStyle="1" w:styleId="SubclauseChar">
    <w:name w:val="Subclause Char"/>
    <w:basedOn w:val="DefaultParagraphFont"/>
    <w:link w:val="Subclause"/>
    <w:rsid w:val="00F223EF"/>
    <w:rPr>
      <w:rFonts w:eastAsia="Times New Roman" w:cs="Times New Roman"/>
      <w:szCs w:val="20"/>
      <w:lang w:val="en-GB" w:bidi="en-US"/>
    </w:rPr>
  </w:style>
  <w:style w:type="character" w:customStyle="1" w:styleId="st1">
    <w:name w:val="st1"/>
    <w:basedOn w:val="DefaultParagraphFont"/>
    <w:rsid w:val="00F223EF"/>
  </w:style>
  <w:style w:type="paragraph" w:customStyle="1" w:styleId="FSCfooter0">
    <w:name w:val="FSCfooter"/>
    <w:basedOn w:val="Normal"/>
    <w:qFormat/>
    <w:rsid w:val="00F223EF"/>
    <w:pPr>
      <w:tabs>
        <w:tab w:val="center" w:pos="4536"/>
        <w:tab w:val="right" w:pos="9072"/>
      </w:tabs>
    </w:pPr>
    <w:rPr>
      <w:sz w:val="18"/>
      <w:szCs w:val="20"/>
    </w:rPr>
  </w:style>
  <w:style w:type="paragraph" w:customStyle="1" w:styleId="PartContents">
    <w:name w:val="Part Contents"/>
    <w:basedOn w:val="Normal"/>
    <w:rsid w:val="00F223EF"/>
    <w:pPr>
      <w:spacing w:line="240" w:lineRule="atLeast"/>
      <w:ind w:left="1120" w:hanging="560"/>
    </w:pPr>
    <w:rPr>
      <w:szCs w:val="20"/>
    </w:rPr>
  </w:style>
  <w:style w:type="paragraph" w:customStyle="1" w:styleId="PartHeading">
    <w:name w:val="Part Heading"/>
    <w:basedOn w:val="Normal"/>
    <w:rsid w:val="00F223EF"/>
    <w:pPr>
      <w:tabs>
        <w:tab w:val="left" w:pos="851"/>
      </w:tabs>
      <w:jc w:val="center"/>
    </w:pPr>
    <w:rPr>
      <w:b/>
      <w:i/>
      <w:sz w:val="36"/>
      <w:szCs w:val="20"/>
    </w:rPr>
  </w:style>
  <w:style w:type="numbering" w:customStyle="1" w:styleId="NoList1">
    <w:name w:val="No List1"/>
    <w:next w:val="NoList"/>
    <w:uiPriority w:val="99"/>
    <w:semiHidden/>
    <w:unhideWhenUsed/>
    <w:rsid w:val="00F223EF"/>
  </w:style>
  <w:style w:type="table" w:customStyle="1" w:styleId="TableGrid1">
    <w:name w:val="Table Grid1"/>
    <w:basedOn w:val="TableNormal"/>
    <w:next w:val="TableGrid"/>
    <w:uiPriority w:val="59"/>
    <w:rsid w:val="00F223EF"/>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F223EF"/>
    <w:rPr>
      <w:rFonts w:asciiTheme="minorHAnsi" w:hAnsiTheme="minorHAnsi" w:cstheme="minorBidi"/>
    </w:rPr>
    <w:tblPr/>
  </w:style>
  <w:style w:type="table" w:customStyle="1" w:styleId="MediumList1-Accent31">
    <w:name w:val="Medium List 1 - Accent 31"/>
    <w:basedOn w:val="TableNormal"/>
    <w:next w:val="MediumList1-Accent3"/>
    <w:uiPriority w:val="65"/>
    <w:rsid w:val="00F223EF"/>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F223EF"/>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F223EF"/>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F223EF"/>
    <w:rPr>
      <w:rFonts w:asciiTheme="minorHAnsi" w:hAnsiTheme="minorHAnsi" w:cstheme="minorBidi"/>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F223EF"/>
    <w:pPr>
      <w:ind w:left="720" w:hanging="720"/>
    </w:pPr>
    <w:rPr>
      <w:rFonts w:asciiTheme="minorHAnsi" w:hAnsiTheme="minorHAnsi" w:cstheme="minorBid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F223EF"/>
    <w:pPr>
      <w:widowControl w:val="0"/>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F223EF"/>
  </w:style>
  <w:style w:type="paragraph" w:styleId="Caption">
    <w:name w:val="caption"/>
    <w:basedOn w:val="Normal"/>
    <w:next w:val="Normal"/>
    <w:unhideWhenUsed/>
    <w:rsid w:val="00F223EF"/>
    <w:pPr>
      <w:spacing w:after="200"/>
    </w:pPr>
    <w:rPr>
      <w:b/>
      <w:bCs/>
      <w:color w:val="4F81BD" w:themeColor="accent1"/>
      <w:sz w:val="18"/>
      <w:szCs w:val="18"/>
    </w:rPr>
  </w:style>
  <w:style w:type="table" w:customStyle="1" w:styleId="TableGrid2">
    <w:name w:val="Table Grid2"/>
    <w:basedOn w:val="TableNormal"/>
    <w:next w:val="TableGrid"/>
    <w:rsid w:val="00802FC0"/>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qFormat="1"/>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Colorful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D855C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1D378C"/>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1D378C"/>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2A1327"/>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1D378C"/>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1D378C"/>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F223EF"/>
    <w:pPr>
      <w:numPr>
        <w:ilvl w:val="5"/>
        <w:numId w:val="2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F223EF"/>
    <w:pPr>
      <w:numPr>
        <w:ilvl w:val="6"/>
        <w:numId w:val="25"/>
      </w:numPr>
      <w:spacing w:before="240" w:after="60"/>
      <w:outlineLvl w:val="6"/>
    </w:pPr>
  </w:style>
  <w:style w:type="paragraph" w:styleId="Heading8">
    <w:name w:val="heading 8"/>
    <w:basedOn w:val="Normal"/>
    <w:next w:val="Normal"/>
    <w:link w:val="Heading8Char"/>
    <w:uiPriority w:val="9"/>
    <w:unhideWhenUsed/>
    <w:qFormat/>
    <w:rsid w:val="00F223EF"/>
    <w:pPr>
      <w:numPr>
        <w:ilvl w:val="7"/>
        <w:numId w:val="25"/>
      </w:numPr>
      <w:spacing w:before="240" w:after="60"/>
      <w:outlineLvl w:val="7"/>
    </w:pPr>
    <w:rPr>
      <w:i/>
      <w:iCs/>
    </w:rPr>
  </w:style>
  <w:style w:type="paragraph" w:styleId="Heading9">
    <w:name w:val="heading 9"/>
    <w:basedOn w:val="Normal"/>
    <w:next w:val="Normal"/>
    <w:link w:val="Heading9Char"/>
    <w:uiPriority w:val="9"/>
    <w:unhideWhenUsed/>
    <w:qFormat/>
    <w:rsid w:val="00F223EF"/>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1D378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1D378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A132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1D378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1D378C"/>
    <w:rPr>
      <w:rFonts w:eastAsiaTheme="majorEastAsia" w:cstheme="majorBidi"/>
      <w:i/>
      <w:lang w:val="en-GB"/>
    </w:rPr>
  </w:style>
  <w:style w:type="character" w:customStyle="1" w:styleId="Heading6Char">
    <w:name w:val="Heading 6 Char"/>
    <w:basedOn w:val="DefaultParagraphFont"/>
    <w:link w:val="Heading6"/>
    <w:uiPriority w:val="9"/>
    <w:rsid w:val="00F223EF"/>
    <w:rPr>
      <w:rFonts w:eastAsia="Times New Roman" w:cs="Arial Unicode MS"/>
      <w:b/>
      <w:bCs/>
      <w:lang w:val="en-GB" w:bidi="en-US"/>
    </w:rPr>
  </w:style>
  <w:style w:type="paragraph" w:customStyle="1" w:styleId="Table2">
    <w:name w:val="Table 2"/>
    <w:basedOn w:val="Normal"/>
    <w:rsid w:val="00F223EF"/>
    <w:pPr>
      <w:ind w:left="142" w:hanging="142"/>
    </w:pPr>
    <w:rPr>
      <w:bCs/>
      <w:sz w:val="20"/>
      <w:szCs w:val="20"/>
    </w:rPr>
  </w:style>
  <w:style w:type="paragraph" w:customStyle="1" w:styleId="131ItemHeading">
    <w:name w:val="1.3.1 Item Heading"/>
    <w:basedOn w:val="Table2"/>
    <w:next w:val="Table2"/>
    <w:rsid w:val="00F223EF"/>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F223EF"/>
    <w:pPr>
      <w:spacing w:after="120"/>
    </w:pPr>
    <w:rPr>
      <w:caps w:val="0"/>
      <w:sz w:val="18"/>
    </w:rPr>
  </w:style>
  <w:style w:type="paragraph" w:customStyle="1" w:styleId="142Tableheading1">
    <w:name w:val="1.4.2 Table heading1"/>
    <w:basedOn w:val="Normal"/>
    <w:rsid w:val="00F223EF"/>
    <w:pPr>
      <w:keepNext/>
      <w:jc w:val="center"/>
    </w:pPr>
    <w:rPr>
      <w:rFonts w:ascii="Arial Bold" w:hAnsi="Arial Bold"/>
      <w:b/>
      <w:bCs/>
      <w:iCs/>
      <w:sz w:val="18"/>
    </w:rPr>
  </w:style>
  <w:style w:type="paragraph" w:customStyle="1" w:styleId="142Tableheading2">
    <w:name w:val="1.4.2 Table heading2"/>
    <w:basedOn w:val="Normal"/>
    <w:rsid w:val="00F223EF"/>
    <w:pPr>
      <w:keepNext/>
      <w:jc w:val="center"/>
    </w:pPr>
    <w:rPr>
      <w:iCs/>
      <w:smallCaps/>
      <w:sz w:val="20"/>
      <w:szCs w:val="20"/>
    </w:rPr>
  </w:style>
  <w:style w:type="paragraph" w:customStyle="1" w:styleId="142Tabletext1">
    <w:name w:val="1.4.2 Table text1"/>
    <w:basedOn w:val="Normal"/>
    <w:link w:val="142Tabletext1Char"/>
    <w:rsid w:val="00F223EF"/>
    <w:pPr>
      <w:ind w:left="142" w:hanging="142"/>
    </w:pPr>
    <w:rPr>
      <w:sz w:val="18"/>
      <w:szCs w:val="20"/>
    </w:rPr>
  </w:style>
  <w:style w:type="character" w:customStyle="1" w:styleId="142Tabletext1Char">
    <w:name w:val="1.4.2 Table text1 Char"/>
    <w:basedOn w:val="DefaultParagraphFont"/>
    <w:link w:val="142Tabletext1"/>
    <w:rsid w:val="00F223EF"/>
    <w:rPr>
      <w:rFonts w:eastAsia="Times New Roman" w:cs="Times New Roman"/>
      <w:sz w:val="18"/>
      <w:szCs w:val="20"/>
      <w:lang w:val="en-GB" w:bidi="en-US"/>
    </w:rPr>
  </w:style>
  <w:style w:type="paragraph" w:customStyle="1" w:styleId="142Tabletext2">
    <w:name w:val="1.4.2 Table text2"/>
    <w:basedOn w:val="142Tabletext1"/>
    <w:rsid w:val="00F223EF"/>
    <w:pPr>
      <w:jc w:val="right"/>
    </w:pPr>
  </w:style>
  <w:style w:type="paragraph" w:customStyle="1" w:styleId="Blankpage">
    <w:name w:val="Blank page"/>
    <w:basedOn w:val="Normal"/>
    <w:next w:val="Normal"/>
    <w:rsid w:val="00F223EF"/>
    <w:pPr>
      <w:tabs>
        <w:tab w:val="left" w:pos="851"/>
      </w:tabs>
      <w:spacing w:before="6000"/>
      <w:jc w:val="center"/>
    </w:pPr>
    <w:rPr>
      <w:caps/>
      <w:szCs w:val="20"/>
    </w:rPr>
  </w:style>
  <w:style w:type="paragraph" w:customStyle="1" w:styleId="Clause">
    <w:name w:val="Clause"/>
    <w:basedOn w:val="Normal"/>
    <w:next w:val="Normal"/>
    <w:link w:val="ClauseChar"/>
    <w:rsid w:val="00F223EF"/>
    <w:pPr>
      <w:tabs>
        <w:tab w:val="left" w:pos="851"/>
      </w:tabs>
    </w:pPr>
    <w:rPr>
      <w:szCs w:val="20"/>
    </w:rPr>
  </w:style>
  <w:style w:type="character" w:customStyle="1" w:styleId="ClauseChar">
    <w:name w:val="Clause Char"/>
    <w:basedOn w:val="DefaultParagraphFont"/>
    <w:link w:val="Clause"/>
    <w:rsid w:val="00F223EF"/>
    <w:rPr>
      <w:rFonts w:eastAsia="Times New Roman" w:cs="Times New Roman"/>
      <w:szCs w:val="20"/>
      <w:lang w:val="en-GB" w:bidi="en-US"/>
    </w:rPr>
  </w:style>
  <w:style w:type="paragraph" w:customStyle="1" w:styleId="Clauseheading">
    <w:name w:val="Clause heading"/>
    <w:basedOn w:val="Normal"/>
    <w:next w:val="Normal"/>
    <w:rsid w:val="00F223EF"/>
    <w:pPr>
      <w:tabs>
        <w:tab w:val="left" w:pos="851"/>
      </w:tabs>
    </w:pPr>
    <w:rPr>
      <w:b/>
      <w:szCs w:val="20"/>
    </w:rPr>
  </w:style>
  <w:style w:type="paragraph" w:customStyle="1" w:styleId="ClauseList">
    <w:name w:val="Clause List"/>
    <w:basedOn w:val="Clause"/>
    <w:next w:val="Normal"/>
    <w:rsid w:val="00F223EF"/>
  </w:style>
  <w:style w:type="paragraph" w:customStyle="1" w:styleId="Definition">
    <w:name w:val="Definition"/>
    <w:basedOn w:val="Normal"/>
    <w:next w:val="Normal"/>
    <w:link w:val="DefinitionChar"/>
    <w:rsid w:val="00F223EF"/>
    <w:pPr>
      <w:ind w:left="1701" w:hanging="851"/>
    </w:pPr>
    <w:rPr>
      <w:szCs w:val="20"/>
    </w:rPr>
  </w:style>
  <w:style w:type="paragraph" w:customStyle="1" w:styleId="DivisionHeading">
    <w:name w:val="Division Heading"/>
    <w:basedOn w:val="Normal"/>
    <w:next w:val="Normal"/>
    <w:rsid w:val="00F223EF"/>
    <w:pPr>
      <w:tabs>
        <w:tab w:val="left" w:pos="851"/>
      </w:tabs>
      <w:jc w:val="center"/>
    </w:pPr>
    <w:rPr>
      <w:b/>
      <w:sz w:val="28"/>
      <w:szCs w:val="20"/>
    </w:rPr>
  </w:style>
  <w:style w:type="paragraph" w:customStyle="1" w:styleId="EditorialNoteLine1">
    <w:name w:val="Editorial Note Line 1"/>
    <w:basedOn w:val="Normal"/>
    <w:next w:val="Normal"/>
    <w:rsid w:val="00F223EF"/>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F223EF"/>
    <w:rPr>
      <w:b w:val="0"/>
    </w:rPr>
  </w:style>
  <w:style w:type="paragraph" w:styleId="Footer">
    <w:name w:val="footer"/>
    <w:aliases w:val="FSFooter"/>
    <w:basedOn w:val="Normal"/>
    <w:link w:val="FooterChar"/>
    <w:uiPriority w:val="99"/>
    <w:rsid w:val="00F223EF"/>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F223EF"/>
    <w:rPr>
      <w:rFonts w:eastAsia="Times New Roman" w:cs="Times New Roman"/>
      <w:sz w:val="20"/>
      <w:szCs w:val="24"/>
      <w:lang w:val="en-GB" w:bidi="en-US"/>
    </w:rPr>
  </w:style>
  <w:style w:type="paragraph" w:styleId="FootnoteText">
    <w:name w:val="footnote text"/>
    <w:aliases w:val="Footnotes Text,FSFootnotes Text,FSFootnote Text"/>
    <w:basedOn w:val="Normal"/>
    <w:link w:val="FootnoteTextChar"/>
    <w:qFormat/>
    <w:rsid w:val="00F223EF"/>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F223EF"/>
    <w:rPr>
      <w:rFonts w:eastAsia="Times New Roman" w:cs="Times New Roman"/>
      <w:sz w:val="20"/>
      <w:szCs w:val="20"/>
      <w:lang w:val="en-GB" w:bidi="en-US"/>
    </w:rPr>
  </w:style>
  <w:style w:type="paragraph" w:customStyle="1" w:styleId="FSBullet1">
    <w:name w:val="FSBullet 1"/>
    <w:basedOn w:val="Normal"/>
    <w:next w:val="Normal"/>
    <w:link w:val="FSBullet1Char"/>
    <w:qFormat/>
    <w:rsid w:val="006001D5"/>
    <w:pPr>
      <w:widowControl/>
      <w:numPr>
        <w:numId w:val="16"/>
      </w:numPr>
      <w:ind w:left="567" w:hanging="567"/>
    </w:pPr>
    <w:rPr>
      <w:rFonts w:cs="Arial"/>
      <w:lang w:bidi="ar-SA"/>
    </w:rPr>
  </w:style>
  <w:style w:type="character" w:customStyle="1" w:styleId="FSBullet1Char">
    <w:name w:val="FSBullet 1 Char"/>
    <w:link w:val="FSBullet1"/>
    <w:rsid w:val="006001D5"/>
    <w:rPr>
      <w:rFonts w:eastAsia="Times New Roman"/>
      <w:szCs w:val="24"/>
      <w:lang w:val="en-GB"/>
    </w:rPr>
  </w:style>
  <w:style w:type="paragraph" w:customStyle="1" w:styleId="FSBullet2">
    <w:name w:val="FSBullet 2"/>
    <w:basedOn w:val="Normal"/>
    <w:qFormat/>
    <w:rsid w:val="00F223EF"/>
    <w:pPr>
      <w:widowControl/>
      <w:numPr>
        <w:numId w:val="17"/>
      </w:numPr>
      <w:ind w:left="1134" w:hanging="567"/>
    </w:pPr>
    <w:rPr>
      <w:rFonts w:eastAsia="Calibri"/>
      <w:szCs w:val="22"/>
      <w:lang w:bidi="ar-SA"/>
    </w:rPr>
  </w:style>
  <w:style w:type="paragraph" w:customStyle="1" w:styleId="FSBullet3">
    <w:name w:val="FSBullet 3"/>
    <w:basedOn w:val="Normal"/>
    <w:qFormat/>
    <w:rsid w:val="00F223EF"/>
    <w:pPr>
      <w:keepNext/>
      <w:widowControl/>
      <w:numPr>
        <w:numId w:val="18"/>
      </w:numPr>
      <w:ind w:left="1701" w:hanging="567"/>
    </w:pPr>
    <w:rPr>
      <w:rFonts w:eastAsia="Calibri"/>
      <w:b/>
      <w:szCs w:val="22"/>
      <w:lang w:bidi="ar-SA"/>
    </w:rPr>
  </w:style>
  <w:style w:type="paragraph" w:customStyle="1" w:styleId="FSCaption">
    <w:name w:val="FSCaption"/>
    <w:basedOn w:val="Normal"/>
    <w:qFormat/>
    <w:rsid w:val="00F223EF"/>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ootnote"/>
    <w:qFormat/>
    <w:rsid w:val="00F223EF"/>
    <w:pPr>
      <w:tabs>
        <w:tab w:val="clear" w:pos="851"/>
        <w:tab w:val="center" w:pos="4536"/>
        <w:tab w:val="right" w:pos="9070"/>
      </w:tabs>
    </w:pPr>
    <w:rPr>
      <w:sz w:val="18"/>
      <w:szCs w:val="18"/>
    </w:rPr>
  </w:style>
  <w:style w:type="paragraph" w:customStyle="1" w:styleId="FSPagenumber">
    <w:name w:val="FSPage number"/>
    <w:basedOn w:val="Normal"/>
    <w:qFormat/>
    <w:rsid w:val="00F223EF"/>
    <w:pPr>
      <w:jc w:val="right"/>
    </w:pPr>
    <w:rPr>
      <w:sz w:val="20"/>
      <w:szCs w:val="20"/>
    </w:rPr>
  </w:style>
  <w:style w:type="paragraph" w:customStyle="1" w:styleId="FSTableColumnRowheading">
    <w:name w:val="FSTable Column/Row heading"/>
    <w:basedOn w:val="Normal"/>
    <w:qFormat/>
    <w:rsid w:val="00F223EF"/>
    <w:pPr>
      <w:spacing w:before="120" w:after="120"/>
    </w:pPr>
    <w:rPr>
      <w:b/>
      <w:sz w:val="20"/>
      <w:szCs w:val="20"/>
    </w:rPr>
  </w:style>
  <w:style w:type="paragraph" w:customStyle="1" w:styleId="FSTableFigureHeading">
    <w:name w:val="FSTable/Figure Heading"/>
    <w:basedOn w:val="Normal"/>
    <w:qFormat/>
    <w:rsid w:val="00F223EF"/>
    <w:pPr>
      <w:spacing w:before="120" w:after="120"/>
      <w:ind w:left="1134" w:hanging="1134"/>
    </w:pPr>
    <w:rPr>
      <w:b/>
      <w:i/>
    </w:rPr>
  </w:style>
  <w:style w:type="paragraph" w:styleId="Header">
    <w:name w:val="header"/>
    <w:aliases w:val="FSHeader"/>
    <w:basedOn w:val="Normal"/>
    <w:link w:val="HeaderChar"/>
    <w:uiPriority w:val="99"/>
    <w:qFormat/>
    <w:rsid w:val="00F223EF"/>
  </w:style>
  <w:style w:type="character" w:customStyle="1" w:styleId="HeaderChar">
    <w:name w:val="Header Char"/>
    <w:aliases w:val="FSHeader Char"/>
    <w:basedOn w:val="DefaultParagraphFont"/>
    <w:link w:val="Header"/>
    <w:uiPriority w:val="99"/>
    <w:rsid w:val="00F223EF"/>
    <w:rPr>
      <w:rFonts w:eastAsia="Times New Roman" w:cs="Times New Roman"/>
      <w:szCs w:val="24"/>
      <w:lang w:val="en-GB" w:bidi="en-US"/>
    </w:rPr>
  </w:style>
  <w:style w:type="paragraph" w:customStyle="1" w:styleId="Paragraph">
    <w:name w:val="Paragraph"/>
    <w:basedOn w:val="Clause"/>
    <w:next w:val="Normal"/>
    <w:rsid w:val="00F223EF"/>
    <w:pPr>
      <w:tabs>
        <w:tab w:val="clear" w:pos="851"/>
      </w:tabs>
      <w:ind w:left="1702" w:hanging="851"/>
    </w:pPr>
  </w:style>
  <w:style w:type="paragraph" w:customStyle="1" w:styleId="ScheduleHeading">
    <w:name w:val="Schedule Heading"/>
    <w:basedOn w:val="Normal"/>
    <w:next w:val="Normal"/>
    <w:rsid w:val="00F223EF"/>
    <w:pPr>
      <w:tabs>
        <w:tab w:val="left" w:pos="851"/>
      </w:tabs>
      <w:jc w:val="center"/>
    </w:pPr>
    <w:rPr>
      <w:b/>
      <w:caps/>
      <w:szCs w:val="20"/>
    </w:rPr>
  </w:style>
  <w:style w:type="paragraph" w:customStyle="1" w:styleId="Standardtitle">
    <w:name w:val="Standard title"/>
    <w:basedOn w:val="Normal"/>
    <w:rsid w:val="00F223EF"/>
    <w:pPr>
      <w:tabs>
        <w:tab w:val="left" w:pos="851"/>
      </w:tabs>
      <w:jc w:val="center"/>
    </w:pPr>
    <w:rPr>
      <w:b/>
      <w:i/>
      <w:iCs/>
      <w:caps/>
      <w:sz w:val="28"/>
      <w:szCs w:val="20"/>
    </w:rPr>
  </w:style>
  <w:style w:type="paragraph" w:customStyle="1" w:styleId="Subclause">
    <w:name w:val="Subclause"/>
    <w:basedOn w:val="Clause"/>
    <w:link w:val="SubclauseChar"/>
    <w:rsid w:val="00F223EF"/>
    <w:pPr>
      <w:ind w:hanging="11"/>
    </w:pPr>
  </w:style>
  <w:style w:type="paragraph" w:customStyle="1" w:styleId="Subparagraph">
    <w:name w:val="Subparagraph"/>
    <w:basedOn w:val="Paragraph"/>
    <w:next w:val="Normal"/>
    <w:rsid w:val="00F223EF"/>
    <w:pPr>
      <w:ind w:left="2553"/>
    </w:pPr>
  </w:style>
  <w:style w:type="paragraph" w:customStyle="1" w:styleId="Table1">
    <w:name w:val="Table 1"/>
    <w:basedOn w:val="Normal"/>
    <w:rsid w:val="00F223EF"/>
    <w:pPr>
      <w:spacing w:after="120"/>
      <w:jc w:val="center"/>
    </w:pPr>
    <w:rPr>
      <w:b/>
      <w:bCs/>
      <w:sz w:val="20"/>
      <w:szCs w:val="20"/>
    </w:rPr>
  </w:style>
  <w:style w:type="paragraph" w:customStyle="1" w:styleId="TitleBorder">
    <w:name w:val="TitleBorder"/>
    <w:basedOn w:val="Normal"/>
    <w:rsid w:val="00F223EF"/>
    <w:pPr>
      <w:pBdr>
        <w:bottom w:val="double" w:sz="6" w:space="0" w:color="auto"/>
      </w:pBdr>
      <w:tabs>
        <w:tab w:val="left" w:pos="851"/>
      </w:tabs>
    </w:pPr>
    <w:rPr>
      <w:b/>
      <w:szCs w:val="20"/>
    </w:rPr>
  </w:style>
  <w:style w:type="paragraph" w:styleId="NoSpacing">
    <w:name w:val="No Spacing"/>
    <w:basedOn w:val="Normal"/>
    <w:uiPriority w:val="1"/>
    <w:qFormat/>
    <w:rsid w:val="00F223EF"/>
    <w:pPr>
      <w:widowControl/>
    </w:pPr>
    <w:rPr>
      <w:rFonts w:asciiTheme="minorHAnsi" w:eastAsiaTheme="minorHAnsi" w:hAnsiTheme="minorHAnsi" w:cstheme="minorBidi"/>
      <w:szCs w:val="22"/>
      <w:lang w:val="en-AU" w:bidi="ar-SA"/>
    </w:rPr>
  </w:style>
  <w:style w:type="paragraph" w:styleId="Subtitle">
    <w:name w:val="Subtitle"/>
    <w:basedOn w:val="Normal"/>
    <w:next w:val="Normal"/>
    <w:link w:val="SubtitleChar"/>
    <w:uiPriority w:val="11"/>
    <w:qFormat/>
    <w:rsid w:val="00F223EF"/>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223EF"/>
    <w:rPr>
      <w:rFonts w:asciiTheme="majorHAnsi" w:eastAsiaTheme="majorEastAsia" w:hAnsiTheme="majorHAnsi" w:cstheme="majorBidi"/>
      <w:i/>
      <w:iCs/>
      <w:color w:val="4F81BD" w:themeColor="accent1"/>
      <w:spacing w:val="15"/>
      <w:sz w:val="24"/>
      <w:szCs w:val="24"/>
    </w:rPr>
  </w:style>
  <w:style w:type="character" w:styleId="IntenseEmphasis">
    <w:name w:val="Intense Emphasis"/>
    <w:uiPriority w:val="21"/>
    <w:qFormat/>
    <w:rsid w:val="00F223EF"/>
    <w:rPr>
      <w:b/>
      <w:bCs/>
      <w:i/>
      <w:iCs/>
      <w:color w:val="4F81BD" w:themeColor="accent1"/>
    </w:rPr>
  </w:style>
  <w:style w:type="paragraph" w:styleId="ListParagraph">
    <w:name w:val="List Paragraph"/>
    <w:basedOn w:val="Normal"/>
    <w:uiPriority w:val="34"/>
    <w:qFormat/>
    <w:rsid w:val="00F223EF"/>
    <w:pPr>
      <w:ind w:left="720"/>
      <w:contextualSpacing/>
    </w:pPr>
  </w:style>
  <w:style w:type="character" w:customStyle="1" w:styleId="Heading7Char">
    <w:name w:val="Heading 7 Char"/>
    <w:basedOn w:val="DefaultParagraphFont"/>
    <w:link w:val="Heading7"/>
    <w:uiPriority w:val="9"/>
    <w:rsid w:val="00F223EF"/>
    <w:rPr>
      <w:rFonts w:eastAsia="Times New Roman" w:cs="Times New Roman"/>
      <w:szCs w:val="24"/>
      <w:lang w:val="en-GB" w:bidi="en-US"/>
    </w:rPr>
  </w:style>
  <w:style w:type="character" w:customStyle="1" w:styleId="Heading8Char">
    <w:name w:val="Heading 8 Char"/>
    <w:basedOn w:val="DefaultParagraphFont"/>
    <w:link w:val="Heading8"/>
    <w:uiPriority w:val="9"/>
    <w:rsid w:val="00F223EF"/>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F223EF"/>
    <w:rPr>
      <w:rFonts w:ascii="Cambria" w:eastAsia="Times New Roman" w:hAnsi="Cambria" w:cs="Times New Roman"/>
      <w:lang w:val="en-GB" w:bidi="en-US"/>
    </w:rPr>
  </w:style>
  <w:style w:type="character" w:styleId="Hyperlink">
    <w:name w:val="Hyperlink"/>
    <w:basedOn w:val="DefaultParagraphFont"/>
    <w:uiPriority w:val="99"/>
    <w:rsid w:val="00F223EF"/>
    <w:rPr>
      <w:rFonts w:ascii="Arial" w:hAnsi="Arial"/>
      <w:color w:val="3333FF"/>
      <w:u w:val="single"/>
    </w:rPr>
  </w:style>
  <w:style w:type="paragraph" w:customStyle="1" w:styleId="FSTitle">
    <w:name w:val="FS Title"/>
    <w:basedOn w:val="Normal"/>
    <w:qFormat/>
    <w:rsid w:val="00F223EF"/>
    <w:rPr>
      <w:rFonts w:cs="Tahoma"/>
      <w:bCs/>
      <w:sz w:val="32"/>
    </w:rPr>
  </w:style>
  <w:style w:type="paragraph" w:customStyle="1" w:styleId="FSDash">
    <w:name w:val="FS Dash"/>
    <w:basedOn w:val="Normal"/>
    <w:qFormat/>
    <w:rsid w:val="00F223EF"/>
    <w:pPr>
      <w:ind w:left="1134" w:hanging="567"/>
    </w:pPr>
  </w:style>
  <w:style w:type="paragraph" w:styleId="TOC1">
    <w:name w:val="toc 1"/>
    <w:basedOn w:val="Normal"/>
    <w:next w:val="Normal"/>
    <w:autoRedefine/>
    <w:uiPriority w:val="39"/>
    <w:rsid w:val="007907A6"/>
    <w:pPr>
      <w:tabs>
        <w:tab w:val="left" w:pos="426"/>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F223EF"/>
    <w:pPr>
      <w:ind w:left="220"/>
    </w:pPr>
    <w:rPr>
      <w:rFonts w:asciiTheme="minorHAnsi" w:hAnsiTheme="minorHAnsi"/>
      <w:smallCaps/>
      <w:sz w:val="20"/>
      <w:szCs w:val="20"/>
    </w:rPr>
  </w:style>
  <w:style w:type="character" w:styleId="PageNumber">
    <w:name w:val="page number"/>
    <w:basedOn w:val="DefaultParagraphFont"/>
    <w:rsid w:val="00F223EF"/>
    <w:rPr>
      <w:rFonts w:ascii="Arial" w:hAnsi="Arial"/>
    </w:rPr>
  </w:style>
  <w:style w:type="paragraph" w:styleId="TOC3">
    <w:name w:val="toc 3"/>
    <w:basedOn w:val="Normal"/>
    <w:next w:val="Normal"/>
    <w:autoRedefine/>
    <w:uiPriority w:val="39"/>
    <w:rsid w:val="00F223EF"/>
    <w:pPr>
      <w:ind w:left="440"/>
    </w:pPr>
    <w:rPr>
      <w:rFonts w:asciiTheme="minorHAnsi" w:hAnsiTheme="minorHAnsi"/>
      <w:i/>
      <w:iCs/>
      <w:sz w:val="20"/>
      <w:szCs w:val="20"/>
    </w:rPr>
  </w:style>
  <w:style w:type="paragraph" w:styleId="TOC4">
    <w:name w:val="toc 4"/>
    <w:basedOn w:val="Normal"/>
    <w:next w:val="Normal"/>
    <w:autoRedefine/>
    <w:semiHidden/>
    <w:rsid w:val="00F223EF"/>
    <w:pPr>
      <w:ind w:left="660"/>
    </w:pPr>
    <w:rPr>
      <w:rFonts w:asciiTheme="minorHAnsi" w:hAnsiTheme="minorHAnsi"/>
      <w:sz w:val="18"/>
      <w:szCs w:val="18"/>
    </w:rPr>
  </w:style>
  <w:style w:type="paragraph" w:styleId="TOC5">
    <w:name w:val="toc 5"/>
    <w:basedOn w:val="Normal"/>
    <w:next w:val="Normal"/>
    <w:autoRedefine/>
    <w:semiHidden/>
    <w:rsid w:val="00F223EF"/>
    <w:pPr>
      <w:ind w:left="880"/>
    </w:pPr>
    <w:rPr>
      <w:rFonts w:asciiTheme="minorHAnsi" w:hAnsiTheme="minorHAnsi"/>
      <w:sz w:val="18"/>
      <w:szCs w:val="18"/>
    </w:rPr>
  </w:style>
  <w:style w:type="character" w:styleId="FollowedHyperlink">
    <w:name w:val="FollowedHyperlink"/>
    <w:basedOn w:val="DefaultParagraphFont"/>
    <w:uiPriority w:val="99"/>
    <w:rsid w:val="00F223EF"/>
    <w:rPr>
      <w:rFonts w:ascii="Arial" w:hAnsi="Arial"/>
      <w:color w:val="3333FF"/>
      <w:sz w:val="22"/>
      <w:u w:val="single"/>
    </w:rPr>
  </w:style>
  <w:style w:type="paragraph" w:styleId="TOC6">
    <w:name w:val="toc 6"/>
    <w:basedOn w:val="Normal"/>
    <w:next w:val="Normal"/>
    <w:autoRedefine/>
    <w:semiHidden/>
    <w:rsid w:val="00F223EF"/>
    <w:pPr>
      <w:ind w:left="1100"/>
    </w:pPr>
    <w:rPr>
      <w:rFonts w:asciiTheme="minorHAnsi" w:hAnsiTheme="minorHAnsi"/>
      <w:sz w:val="18"/>
      <w:szCs w:val="18"/>
    </w:rPr>
  </w:style>
  <w:style w:type="paragraph" w:customStyle="1" w:styleId="Box1">
    <w:name w:val="Box 1"/>
    <w:basedOn w:val="Normal"/>
    <w:rsid w:val="00F223EF"/>
    <w:pPr>
      <w:tabs>
        <w:tab w:val="num" w:pos="120"/>
      </w:tabs>
      <w:ind w:left="113" w:hanging="113"/>
    </w:pPr>
    <w:rPr>
      <w:sz w:val="16"/>
    </w:rPr>
  </w:style>
  <w:style w:type="paragraph" w:customStyle="1" w:styleId="Box2">
    <w:name w:val="Box 2"/>
    <w:basedOn w:val="Normal"/>
    <w:rsid w:val="00F223EF"/>
    <w:pPr>
      <w:tabs>
        <w:tab w:val="left" w:pos="4608"/>
        <w:tab w:val="left" w:pos="9180"/>
        <w:tab w:val="left" w:pos="9216"/>
      </w:tabs>
      <w:jc w:val="center"/>
    </w:pPr>
    <w:rPr>
      <w:b/>
      <w:bCs/>
      <w:i/>
      <w:iCs/>
      <w:color w:val="000000"/>
      <w:sz w:val="16"/>
    </w:rPr>
  </w:style>
  <w:style w:type="paragraph" w:customStyle="1" w:styleId="Box3">
    <w:name w:val="Box 3"/>
    <w:basedOn w:val="Normal"/>
    <w:rsid w:val="00F223EF"/>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F223EF"/>
    <w:rPr>
      <w:b/>
      <w:bCs/>
      <w:iCs w:val="0"/>
    </w:rPr>
  </w:style>
  <w:style w:type="paragraph" w:customStyle="1" w:styleId="142tabletext10">
    <w:name w:val="1.4.2 table text1"/>
    <w:basedOn w:val="Normal"/>
    <w:rsid w:val="00F223EF"/>
    <w:pPr>
      <w:ind w:left="142" w:hanging="142"/>
    </w:pPr>
    <w:rPr>
      <w:smallCaps/>
      <w:sz w:val="20"/>
      <w:szCs w:val="20"/>
    </w:rPr>
  </w:style>
  <w:style w:type="paragraph" w:customStyle="1" w:styleId="142tabletext20">
    <w:name w:val="1.4.2 table text2"/>
    <w:basedOn w:val="142tabletext10"/>
    <w:rsid w:val="00F223EF"/>
    <w:pPr>
      <w:jc w:val="right"/>
    </w:pPr>
  </w:style>
  <w:style w:type="paragraph" w:customStyle="1" w:styleId="Footnote">
    <w:name w:val="Footnote"/>
    <w:basedOn w:val="Normal"/>
    <w:rsid w:val="00F223EF"/>
    <w:pPr>
      <w:tabs>
        <w:tab w:val="left" w:pos="851"/>
      </w:tabs>
    </w:pPr>
    <w:rPr>
      <w:sz w:val="20"/>
      <w:szCs w:val="20"/>
    </w:rPr>
  </w:style>
  <w:style w:type="paragraph" w:customStyle="1" w:styleId="MiscellaneousHeading">
    <w:name w:val="Miscellaneous Heading"/>
    <w:basedOn w:val="Normal"/>
    <w:next w:val="Normal"/>
    <w:rsid w:val="00F223EF"/>
    <w:rPr>
      <w:b/>
      <w:szCs w:val="20"/>
    </w:rPr>
  </w:style>
  <w:style w:type="paragraph" w:customStyle="1" w:styleId="TableHeading">
    <w:name w:val="Table Heading"/>
    <w:basedOn w:val="Normal"/>
    <w:next w:val="Normal"/>
    <w:rsid w:val="00F223EF"/>
    <w:pPr>
      <w:tabs>
        <w:tab w:val="left" w:pos="851"/>
      </w:tabs>
      <w:jc w:val="center"/>
    </w:pPr>
    <w:rPr>
      <w:b/>
      <w:szCs w:val="20"/>
    </w:rPr>
  </w:style>
  <w:style w:type="paragraph" w:styleId="TOC7">
    <w:name w:val="toc 7"/>
    <w:basedOn w:val="Normal"/>
    <w:next w:val="Normal"/>
    <w:autoRedefine/>
    <w:semiHidden/>
    <w:rsid w:val="00F223EF"/>
    <w:pPr>
      <w:ind w:left="1320"/>
    </w:pPr>
    <w:rPr>
      <w:rFonts w:asciiTheme="minorHAnsi" w:hAnsiTheme="minorHAnsi"/>
      <w:sz w:val="18"/>
      <w:szCs w:val="18"/>
    </w:rPr>
  </w:style>
  <w:style w:type="paragraph" w:styleId="TOC8">
    <w:name w:val="toc 8"/>
    <w:basedOn w:val="Normal"/>
    <w:next w:val="Normal"/>
    <w:autoRedefine/>
    <w:semiHidden/>
    <w:rsid w:val="00F223EF"/>
    <w:pPr>
      <w:ind w:left="1540"/>
    </w:pPr>
    <w:rPr>
      <w:rFonts w:asciiTheme="minorHAnsi" w:hAnsiTheme="minorHAnsi"/>
      <w:sz w:val="18"/>
      <w:szCs w:val="18"/>
    </w:rPr>
  </w:style>
  <w:style w:type="paragraph" w:styleId="TOC9">
    <w:name w:val="toc 9"/>
    <w:basedOn w:val="Normal"/>
    <w:next w:val="Normal"/>
    <w:autoRedefine/>
    <w:semiHidden/>
    <w:rsid w:val="00F223EF"/>
    <w:pPr>
      <w:ind w:left="1760"/>
    </w:pPr>
    <w:rPr>
      <w:rFonts w:asciiTheme="minorHAnsi" w:hAnsiTheme="minorHAnsi"/>
      <w:sz w:val="18"/>
      <w:szCs w:val="18"/>
    </w:rPr>
  </w:style>
  <w:style w:type="character" w:styleId="FootnoteReference">
    <w:name w:val="footnote reference"/>
    <w:basedOn w:val="DefaultParagraphFont"/>
    <w:semiHidden/>
    <w:rsid w:val="00F223EF"/>
    <w:rPr>
      <w:vertAlign w:val="superscript"/>
    </w:rPr>
  </w:style>
  <w:style w:type="paragraph" w:customStyle="1" w:styleId="FSDecisionHeading">
    <w:name w:val="FS Decision Heading"/>
    <w:basedOn w:val="Normal"/>
    <w:next w:val="FSDecisiontext"/>
    <w:qFormat/>
    <w:rsid w:val="00F223EF"/>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F223EF"/>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F223EF"/>
    <w:rPr>
      <w:rFonts w:ascii="Tahoma" w:hAnsi="Tahoma" w:cs="Tahoma"/>
      <w:sz w:val="16"/>
      <w:szCs w:val="16"/>
    </w:rPr>
  </w:style>
  <w:style w:type="character" w:customStyle="1" w:styleId="BalloonTextChar">
    <w:name w:val="Balloon Text Char"/>
    <w:basedOn w:val="DefaultParagraphFont"/>
    <w:link w:val="BalloonText"/>
    <w:uiPriority w:val="99"/>
    <w:semiHidden/>
    <w:rsid w:val="00F223EF"/>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F223EF"/>
    <w:pPr>
      <w:outlineLvl w:val="9"/>
    </w:pPr>
  </w:style>
  <w:style w:type="paragraph" w:customStyle="1" w:styleId="FSBullet">
    <w:name w:val="FS Bullet"/>
    <w:basedOn w:val="Normal"/>
    <w:next w:val="Normal"/>
    <w:link w:val="FSBulletChar"/>
    <w:qFormat/>
    <w:rsid w:val="00F223EF"/>
    <w:pPr>
      <w:numPr>
        <w:numId w:val="15"/>
      </w:numPr>
      <w:ind w:left="567" w:hanging="567"/>
    </w:pPr>
    <w:rPr>
      <w:rFonts w:cs="Arial"/>
    </w:rPr>
  </w:style>
  <w:style w:type="character" w:customStyle="1" w:styleId="FSBulletChar">
    <w:name w:val="FS Bullet Char"/>
    <w:basedOn w:val="DefaultParagraphFont"/>
    <w:link w:val="FSBullet"/>
    <w:rsid w:val="00F223EF"/>
    <w:rPr>
      <w:rFonts w:eastAsia="Times New Roman"/>
      <w:szCs w:val="24"/>
      <w:lang w:val="en-GB" w:bidi="en-US"/>
    </w:rPr>
  </w:style>
  <w:style w:type="table" w:styleId="TableGrid">
    <w:name w:val="Table Grid"/>
    <w:basedOn w:val="TableNormal"/>
    <w:uiPriority w:val="59"/>
    <w:rsid w:val="00F223EF"/>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F223EF"/>
    <w:rPr>
      <w:rFonts w:cs="Arial"/>
      <w:b/>
    </w:rPr>
  </w:style>
  <w:style w:type="paragraph" w:customStyle="1" w:styleId="FSTableHeading">
    <w:name w:val="FS Table Heading"/>
    <w:basedOn w:val="Normal"/>
    <w:qFormat/>
    <w:rsid w:val="00F223EF"/>
    <w:pPr>
      <w:jc w:val="center"/>
    </w:pPr>
    <w:rPr>
      <w:rFonts w:ascii="Arial Bold" w:hAnsi="Arial Bold" w:cs="Arial"/>
      <w:b/>
      <w:sz w:val="20"/>
      <w:szCs w:val="20"/>
    </w:rPr>
  </w:style>
  <w:style w:type="paragraph" w:customStyle="1" w:styleId="FSTableText">
    <w:name w:val="FS Table Text"/>
    <w:basedOn w:val="Normal"/>
    <w:qFormat/>
    <w:rsid w:val="00F223EF"/>
    <w:rPr>
      <w:rFonts w:cs="Arial"/>
      <w:sz w:val="20"/>
      <w:szCs w:val="20"/>
    </w:rPr>
  </w:style>
  <w:style w:type="paragraph" w:customStyle="1" w:styleId="FSFigureTitle">
    <w:name w:val="FS Figure Title"/>
    <w:basedOn w:val="Normal"/>
    <w:next w:val="Normal"/>
    <w:qFormat/>
    <w:rsid w:val="00F223EF"/>
    <w:rPr>
      <w:rFonts w:cs="Arial"/>
      <w:i/>
    </w:rPr>
  </w:style>
  <w:style w:type="character" w:styleId="CommentReference">
    <w:name w:val="annotation reference"/>
    <w:basedOn w:val="DefaultParagraphFont"/>
    <w:rsid w:val="00F223EF"/>
    <w:rPr>
      <w:sz w:val="16"/>
      <w:szCs w:val="16"/>
    </w:rPr>
  </w:style>
  <w:style w:type="paragraph" w:styleId="CommentText">
    <w:name w:val="annotation text"/>
    <w:basedOn w:val="Normal"/>
    <w:link w:val="CommentTextChar"/>
    <w:rsid w:val="00F223EF"/>
    <w:rPr>
      <w:sz w:val="20"/>
      <w:szCs w:val="20"/>
    </w:rPr>
  </w:style>
  <w:style w:type="character" w:customStyle="1" w:styleId="CommentTextChar">
    <w:name w:val="Comment Text Char"/>
    <w:basedOn w:val="DefaultParagraphFont"/>
    <w:link w:val="CommentText"/>
    <w:rsid w:val="00F223EF"/>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F223EF"/>
    <w:rPr>
      <w:b/>
      <w:bCs/>
    </w:rPr>
  </w:style>
  <w:style w:type="character" w:customStyle="1" w:styleId="CommentSubjectChar">
    <w:name w:val="Comment Subject Char"/>
    <w:basedOn w:val="CommentTextChar"/>
    <w:link w:val="CommentSubject"/>
    <w:uiPriority w:val="99"/>
    <w:rsid w:val="00F223EF"/>
    <w:rPr>
      <w:rFonts w:eastAsia="Times New Roman" w:cs="Times New Roman"/>
      <w:b/>
      <w:bCs/>
      <w:sz w:val="20"/>
      <w:szCs w:val="20"/>
      <w:lang w:val="en-GB" w:bidi="en-US"/>
    </w:rPr>
  </w:style>
  <w:style w:type="paragraph" w:styleId="DocumentMap">
    <w:name w:val="Document Map"/>
    <w:basedOn w:val="Normal"/>
    <w:link w:val="DocumentMapChar"/>
    <w:uiPriority w:val="99"/>
    <w:rsid w:val="00F223EF"/>
    <w:rPr>
      <w:rFonts w:ascii="Tahoma" w:hAnsi="Tahoma" w:cs="Tahoma"/>
      <w:sz w:val="16"/>
      <w:szCs w:val="16"/>
    </w:rPr>
  </w:style>
  <w:style w:type="character" w:customStyle="1" w:styleId="DocumentMapChar">
    <w:name w:val="Document Map Char"/>
    <w:basedOn w:val="DefaultParagraphFont"/>
    <w:link w:val="DocumentMap"/>
    <w:uiPriority w:val="99"/>
    <w:rsid w:val="00F223EF"/>
    <w:rPr>
      <w:rFonts w:ascii="Tahoma" w:eastAsia="Times New Roman" w:hAnsi="Tahoma" w:cs="Tahoma"/>
      <w:sz w:val="16"/>
      <w:szCs w:val="16"/>
      <w:lang w:val="en-GB" w:bidi="en-US"/>
    </w:rPr>
  </w:style>
  <w:style w:type="table" w:styleId="MediumShading1-Accent3">
    <w:name w:val="Medium Shading 1 Accent 3"/>
    <w:basedOn w:val="TableNormal"/>
    <w:uiPriority w:val="63"/>
    <w:rsid w:val="00F223EF"/>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heading">
    <w:name w:val="heading"/>
    <w:basedOn w:val="Normal"/>
    <w:rsid w:val="00F223EF"/>
    <w:pPr>
      <w:tabs>
        <w:tab w:val="left" w:pos="840"/>
      </w:tabs>
      <w:ind w:left="851" w:hanging="851"/>
    </w:pPr>
    <w:rPr>
      <w:b/>
      <w:caps/>
      <w:szCs w:val="20"/>
    </w:rPr>
  </w:style>
  <w:style w:type="paragraph" w:customStyle="1" w:styleId="Bullet">
    <w:name w:val="Bullet"/>
    <w:basedOn w:val="Normal"/>
    <w:next w:val="Normal"/>
    <w:link w:val="BulletChar"/>
    <w:rsid w:val="00F223EF"/>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F223EF"/>
    <w:rPr>
      <w:rFonts w:ascii="Times New Roman" w:hAnsi="Times New Roman" w:cstheme="minorBidi"/>
      <w:szCs w:val="24"/>
      <w:lang w:val="en-GB"/>
    </w:rPr>
  </w:style>
  <w:style w:type="paragraph" w:styleId="NormalWeb">
    <w:name w:val="Normal (Web)"/>
    <w:basedOn w:val="Normal"/>
    <w:uiPriority w:val="99"/>
    <w:rsid w:val="00F223EF"/>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223EF"/>
    <w:rPr>
      <w:rFonts w:ascii="Arial" w:hAnsi="Arial" w:cs="Arial"/>
      <w:color w:val="000000"/>
      <w:sz w:val="20"/>
      <w:szCs w:val="20"/>
    </w:rPr>
  </w:style>
  <w:style w:type="paragraph" w:styleId="HTMLPreformatted">
    <w:name w:val="HTML Preformatted"/>
    <w:basedOn w:val="Normal"/>
    <w:link w:val="HTMLPreformattedChar"/>
    <w:rsid w:val="00F22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223EF"/>
    <w:rPr>
      <w:rFonts w:ascii="Courier New" w:hAnsi="Courier New" w:cs="Courier New"/>
      <w:sz w:val="20"/>
      <w:lang w:eastAsia="en-AU"/>
    </w:rPr>
  </w:style>
  <w:style w:type="paragraph" w:customStyle="1" w:styleId="Default">
    <w:name w:val="Default"/>
    <w:rsid w:val="00F223EF"/>
    <w:pPr>
      <w:autoSpaceDE w:val="0"/>
      <w:autoSpaceDN w:val="0"/>
      <w:adjustRightInd w:val="0"/>
    </w:pPr>
    <w:rPr>
      <w:rFonts w:ascii="CVKFAZ+Helvetica-Bold" w:eastAsia="Times New Roman" w:hAnsi="CVKFAZ+Helvetica-Bold" w:cs="CVKFAZ+Helvetica-Bold"/>
      <w:color w:val="000000"/>
      <w:sz w:val="24"/>
      <w:szCs w:val="24"/>
      <w:lang w:eastAsia="en-AU"/>
    </w:rPr>
  </w:style>
  <w:style w:type="paragraph" w:styleId="Title">
    <w:name w:val="Title"/>
    <w:basedOn w:val="Normal"/>
    <w:next w:val="Normal"/>
    <w:link w:val="TitleChar"/>
    <w:uiPriority w:val="10"/>
    <w:qFormat/>
    <w:rsid w:val="00F223EF"/>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223E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F223EF"/>
    <w:rPr>
      <w:b/>
      <w:bCs/>
    </w:rPr>
  </w:style>
  <w:style w:type="character" w:styleId="Emphasis">
    <w:name w:val="Emphasis"/>
    <w:uiPriority w:val="20"/>
    <w:qFormat/>
    <w:rsid w:val="00F223EF"/>
    <w:rPr>
      <w:i/>
      <w:iCs/>
    </w:rPr>
  </w:style>
  <w:style w:type="paragraph" w:styleId="Quote">
    <w:name w:val="Quote"/>
    <w:basedOn w:val="Normal"/>
    <w:next w:val="Normal"/>
    <w:link w:val="QuoteChar"/>
    <w:uiPriority w:val="29"/>
    <w:qFormat/>
    <w:rsid w:val="00F223EF"/>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223EF"/>
    <w:rPr>
      <w:rFonts w:asciiTheme="minorHAnsi" w:hAnsiTheme="minorHAnsi" w:cstheme="minorBidi"/>
      <w:i/>
      <w:iCs/>
      <w:color w:val="000000" w:themeColor="text1"/>
    </w:rPr>
  </w:style>
  <w:style w:type="paragraph" w:styleId="IntenseQuote">
    <w:name w:val="Intense Quote"/>
    <w:basedOn w:val="Normal"/>
    <w:next w:val="Normal"/>
    <w:link w:val="IntenseQuoteChar"/>
    <w:uiPriority w:val="30"/>
    <w:qFormat/>
    <w:rsid w:val="00F223EF"/>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223EF"/>
    <w:rPr>
      <w:rFonts w:asciiTheme="minorHAnsi" w:hAnsiTheme="minorHAnsi" w:cstheme="minorBidi"/>
      <w:b/>
      <w:bCs/>
      <w:i/>
      <w:iCs/>
      <w:color w:val="4F81BD" w:themeColor="accent1"/>
    </w:rPr>
  </w:style>
  <w:style w:type="character" w:styleId="SubtleEmphasis">
    <w:name w:val="Subtle Emphasis"/>
    <w:uiPriority w:val="19"/>
    <w:qFormat/>
    <w:rsid w:val="00F223EF"/>
    <w:rPr>
      <w:i/>
      <w:iCs/>
      <w:color w:val="808080" w:themeColor="text1" w:themeTint="7F"/>
    </w:rPr>
  </w:style>
  <w:style w:type="character" w:styleId="SubtleReference">
    <w:name w:val="Subtle Reference"/>
    <w:uiPriority w:val="31"/>
    <w:qFormat/>
    <w:rsid w:val="00F223EF"/>
    <w:rPr>
      <w:smallCaps/>
      <w:color w:val="C0504D" w:themeColor="accent2"/>
      <w:u w:val="single"/>
    </w:rPr>
  </w:style>
  <w:style w:type="character" w:styleId="IntenseReference">
    <w:name w:val="Intense Reference"/>
    <w:uiPriority w:val="32"/>
    <w:qFormat/>
    <w:rsid w:val="00F223EF"/>
    <w:rPr>
      <w:b/>
      <w:bCs/>
      <w:smallCaps/>
      <w:color w:val="C0504D" w:themeColor="accent2"/>
      <w:spacing w:val="5"/>
      <w:u w:val="single"/>
    </w:rPr>
  </w:style>
  <w:style w:type="character" w:styleId="BookTitle">
    <w:name w:val="Book Title"/>
    <w:uiPriority w:val="33"/>
    <w:qFormat/>
    <w:rsid w:val="00F223EF"/>
    <w:rPr>
      <w:b/>
      <w:bCs/>
      <w:smallCaps/>
      <w:spacing w:val="5"/>
    </w:rPr>
  </w:style>
  <w:style w:type="table" w:customStyle="1" w:styleId="Style1">
    <w:name w:val="Style1"/>
    <w:basedOn w:val="TableNormal"/>
    <w:uiPriority w:val="99"/>
    <w:qFormat/>
    <w:rsid w:val="00F223EF"/>
    <w:rPr>
      <w:rFonts w:asciiTheme="minorHAnsi" w:hAnsiTheme="minorHAnsi" w:cstheme="minorBidi"/>
    </w:rPr>
    <w:tblPr/>
  </w:style>
  <w:style w:type="table" w:styleId="MediumList1-Accent3">
    <w:name w:val="Medium List 1 Accent 3"/>
    <w:basedOn w:val="TableNormal"/>
    <w:uiPriority w:val="65"/>
    <w:rsid w:val="00F223EF"/>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F223EF"/>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F223EF"/>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F223EF"/>
    <w:rPr>
      <w:rFonts w:asciiTheme="minorHAnsi" w:hAnsiTheme="minorHAnsi" w:cstheme="minorBidi"/>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F223EF"/>
    <w:pPr>
      <w:numPr>
        <w:numId w:val="19"/>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F223EF"/>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F223EF"/>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F223EF"/>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F223EF"/>
  </w:style>
  <w:style w:type="character" w:customStyle="1" w:styleId="criteria-value1">
    <w:name w:val="criteria-value1"/>
    <w:basedOn w:val="DefaultParagraphFont"/>
    <w:rsid w:val="00F223EF"/>
    <w:rPr>
      <w:b/>
      <w:bCs/>
      <w:color w:val="CC0000"/>
    </w:rPr>
  </w:style>
  <w:style w:type="character" w:customStyle="1" w:styleId="criteria-boolean">
    <w:name w:val="criteria-boolean"/>
    <w:basedOn w:val="DefaultParagraphFont"/>
    <w:rsid w:val="00F223EF"/>
  </w:style>
  <w:style w:type="character" w:customStyle="1" w:styleId="criteria-location">
    <w:name w:val="criteria-location"/>
    <w:basedOn w:val="DefaultParagraphFont"/>
    <w:rsid w:val="00F223EF"/>
  </w:style>
  <w:style w:type="paragraph" w:customStyle="1" w:styleId="Level2">
    <w:name w:val="Level 2"/>
    <w:basedOn w:val="Heading2"/>
    <w:link w:val="Level2Char"/>
    <w:rsid w:val="00F223EF"/>
    <w:pPr>
      <w:keepLines/>
    </w:pPr>
    <w:rPr>
      <w:szCs w:val="28"/>
      <w:lang w:bidi="en-US"/>
    </w:rPr>
  </w:style>
  <w:style w:type="character" w:customStyle="1" w:styleId="Level2Char">
    <w:name w:val="Level 2 Char"/>
    <w:basedOn w:val="Heading2Char"/>
    <w:link w:val="Level2"/>
    <w:rsid w:val="00F223EF"/>
    <w:rPr>
      <w:rFonts w:eastAsiaTheme="majorEastAsia"/>
      <w:b/>
      <w:bCs/>
      <w:sz w:val="28"/>
      <w:szCs w:val="28"/>
      <w:lang w:val="en-GB" w:bidi="en-US"/>
    </w:rPr>
  </w:style>
  <w:style w:type="paragraph" w:customStyle="1" w:styleId="Level1">
    <w:name w:val="Level 1"/>
    <w:basedOn w:val="Heading1"/>
    <w:link w:val="Level1Char"/>
    <w:rsid w:val="00F223EF"/>
    <w:pPr>
      <w:keepNext w:val="0"/>
      <w:ind w:left="0" w:firstLine="0"/>
    </w:pPr>
    <w:rPr>
      <w:kern w:val="36"/>
      <w:szCs w:val="36"/>
      <w:u w:val="single"/>
      <w:lang w:eastAsia="en-AU" w:bidi="en-US"/>
    </w:rPr>
  </w:style>
  <w:style w:type="character" w:customStyle="1" w:styleId="Level1Char">
    <w:name w:val="Level 1 Char"/>
    <w:basedOn w:val="Heading1Char"/>
    <w:link w:val="Level1"/>
    <w:rsid w:val="00F223EF"/>
    <w:rPr>
      <w:rFonts w:eastAsia="Times New Roman" w:cs="Times New Roman"/>
      <w:b/>
      <w:bCs/>
      <w:kern w:val="36"/>
      <w:sz w:val="36"/>
      <w:szCs w:val="36"/>
      <w:u w:val="single"/>
      <w:lang w:val="en-GB" w:eastAsia="en-AU" w:bidi="en-US"/>
    </w:rPr>
  </w:style>
  <w:style w:type="paragraph" w:customStyle="1" w:styleId="Level3">
    <w:name w:val="Level 3"/>
    <w:basedOn w:val="Heading3"/>
    <w:link w:val="Level3Char"/>
    <w:rsid w:val="00F223EF"/>
    <w:pPr>
      <w:keepLines/>
    </w:pPr>
    <w:rPr>
      <w:lang w:bidi="en-US"/>
    </w:rPr>
  </w:style>
  <w:style w:type="character" w:customStyle="1" w:styleId="Level3Char">
    <w:name w:val="Level 3 Char"/>
    <w:basedOn w:val="Heading3Char"/>
    <w:link w:val="Level3"/>
    <w:rsid w:val="00F223EF"/>
    <w:rPr>
      <w:rFonts w:eastAsiaTheme="majorEastAsia" w:cs="Times New Roman"/>
      <w:b/>
      <w:bCs/>
      <w:color w:val="000000" w:themeColor="text1"/>
      <w:szCs w:val="24"/>
      <w:lang w:val="en-GB" w:eastAsia="en-AU" w:bidi="en-US"/>
    </w:rPr>
  </w:style>
  <w:style w:type="paragraph" w:customStyle="1" w:styleId="Level4">
    <w:name w:val="Level 4"/>
    <w:basedOn w:val="Heading4"/>
    <w:link w:val="Level4Char"/>
    <w:rsid w:val="00F223EF"/>
    <w:pPr>
      <w:keepLines/>
      <w:ind w:left="0" w:firstLine="0"/>
    </w:pPr>
    <w:rPr>
      <w:lang w:bidi="en-US"/>
    </w:rPr>
  </w:style>
  <w:style w:type="character" w:customStyle="1" w:styleId="Level4Char">
    <w:name w:val="Level 4 Char"/>
    <w:basedOn w:val="Heading4Char"/>
    <w:link w:val="Level4"/>
    <w:rsid w:val="00F223EF"/>
    <w:rPr>
      <w:rFonts w:eastAsiaTheme="majorEastAsia" w:cs="Times New Roman"/>
      <w:b/>
      <w:bCs/>
      <w:i/>
      <w:iCs/>
      <w:lang w:val="en-GB" w:bidi="en-US"/>
    </w:rPr>
  </w:style>
  <w:style w:type="paragraph" w:customStyle="1" w:styleId="Level5">
    <w:name w:val="Level 5"/>
    <w:basedOn w:val="Heading5"/>
    <w:link w:val="Level5Char"/>
    <w:rsid w:val="00F223EF"/>
    <w:pPr>
      <w:keepLines/>
      <w:ind w:left="0" w:firstLine="0"/>
    </w:pPr>
    <w:rPr>
      <w:u w:val="single"/>
      <w:lang w:bidi="en-US"/>
    </w:rPr>
  </w:style>
  <w:style w:type="character" w:customStyle="1" w:styleId="Level5Char">
    <w:name w:val="Level 5 Char"/>
    <w:basedOn w:val="Heading5Char"/>
    <w:link w:val="Level5"/>
    <w:rsid w:val="00F223EF"/>
    <w:rPr>
      <w:rFonts w:eastAsiaTheme="majorEastAsia" w:cs="Times New Roman"/>
      <w:i/>
      <w:u w:val="single"/>
      <w:lang w:val="en-GB" w:bidi="en-US"/>
    </w:rPr>
  </w:style>
  <w:style w:type="paragraph" w:customStyle="1" w:styleId="One">
    <w:name w:val="One"/>
    <w:basedOn w:val="Heading1"/>
    <w:link w:val="OneChar"/>
    <w:autoRedefine/>
    <w:qFormat/>
    <w:rsid w:val="00F223EF"/>
    <w:pPr>
      <w:keepNext w:val="0"/>
      <w:spacing w:line="264" w:lineRule="atLeast"/>
      <w:jc w:val="both"/>
    </w:pPr>
    <w:rPr>
      <w:rFonts w:ascii="Tahoma" w:hAnsi="Tahoma" w:cs="Tahoma"/>
      <w:kern w:val="36"/>
      <w:sz w:val="28"/>
      <w:lang w:eastAsia="en-AU" w:bidi="en-US"/>
    </w:rPr>
  </w:style>
  <w:style w:type="character" w:customStyle="1" w:styleId="OneChar">
    <w:name w:val="One Char"/>
    <w:basedOn w:val="Heading1Char"/>
    <w:link w:val="One"/>
    <w:rsid w:val="00F223EF"/>
    <w:rPr>
      <w:rFonts w:ascii="Tahoma" w:eastAsia="Times New Roman" w:hAnsi="Tahoma" w:cs="Tahoma"/>
      <w:b/>
      <w:bCs/>
      <w:kern w:val="36"/>
      <w:sz w:val="28"/>
      <w:szCs w:val="28"/>
      <w:lang w:val="en-GB" w:eastAsia="en-AU" w:bidi="en-US"/>
    </w:rPr>
  </w:style>
  <w:style w:type="paragraph" w:customStyle="1" w:styleId="Two">
    <w:name w:val="Two"/>
    <w:basedOn w:val="Heading2"/>
    <w:link w:val="TwoChar"/>
    <w:autoRedefine/>
    <w:qFormat/>
    <w:rsid w:val="00346D6F"/>
    <w:pPr>
      <w:keepLines/>
    </w:pPr>
    <w:rPr>
      <w:szCs w:val="28"/>
      <w:lang w:bidi="en-US"/>
    </w:rPr>
  </w:style>
  <w:style w:type="character" w:customStyle="1" w:styleId="TwoChar">
    <w:name w:val="Two Char"/>
    <w:basedOn w:val="Heading2Char"/>
    <w:link w:val="Two"/>
    <w:rsid w:val="00346D6F"/>
    <w:rPr>
      <w:rFonts w:eastAsiaTheme="majorEastAsia"/>
      <w:b/>
      <w:bCs/>
      <w:sz w:val="28"/>
      <w:szCs w:val="28"/>
      <w:lang w:val="en-GB" w:bidi="en-US"/>
    </w:rPr>
  </w:style>
  <w:style w:type="paragraph" w:customStyle="1" w:styleId="Three">
    <w:name w:val="Three"/>
    <w:basedOn w:val="Heading3"/>
    <w:link w:val="ThreeChar"/>
    <w:autoRedefine/>
    <w:qFormat/>
    <w:rsid w:val="00F223EF"/>
    <w:pPr>
      <w:keepLines/>
    </w:pPr>
    <w:rPr>
      <w:i/>
      <w:lang w:bidi="en-US"/>
    </w:rPr>
  </w:style>
  <w:style w:type="character" w:customStyle="1" w:styleId="ThreeChar">
    <w:name w:val="Three Char"/>
    <w:basedOn w:val="Heading3Char"/>
    <w:link w:val="Three"/>
    <w:rsid w:val="00F223EF"/>
    <w:rPr>
      <w:rFonts w:eastAsiaTheme="majorEastAsia" w:cs="Times New Roman"/>
      <w:b/>
      <w:bCs/>
      <w:i/>
      <w:color w:val="000000" w:themeColor="text1"/>
      <w:szCs w:val="24"/>
      <w:lang w:val="en-GB" w:eastAsia="en-AU" w:bidi="en-US"/>
    </w:rPr>
  </w:style>
  <w:style w:type="paragraph" w:customStyle="1" w:styleId="Four">
    <w:name w:val="Four"/>
    <w:basedOn w:val="Heading4"/>
    <w:link w:val="FourChar"/>
    <w:autoRedefine/>
    <w:qFormat/>
    <w:rsid w:val="00F223EF"/>
    <w:pPr>
      <w:keepLines/>
      <w:ind w:left="862" w:hanging="862"/>
    </w:pPr>
    <w:rPr>
      <w:lang w:bidi="en-US"/>
    </w:rPr>
  </w:style>
  <w:style w:type="character" w:customStyle="1" w:styleId="FourChar">
    <w:name w:val="Four Char"/>
    <w:basedOn w:val="Heading4Char"/>
    <w:link w:val="Four"/>
    <w:rsid w:val="00F223EF"/>
    <w:rPr>
      <w:rFonts w:eastAsiaTheme="majorEastAsia" w:cs="Times New Roman"/>
      <w:b/>
      <w:bCs/>
      <w:i/>
      <w:iCs/>
      <w:lang w:val="en-GB" w:bidi="en-US"/>
    </w:rPr>
  </w:style>
  <w:style w:type="paragraph" w:customStyle="1" w:styleId="Five">
    <w:name w:val="Five"/>
    <w:basedOn w:val="Heading5"/>
    <w:link w:val="FiveChar"/>
    <w:autoRedefine/>
    <w:qFormat/>
    <w:rsid w:val="00F223EF"/>
    <w:pPr>
      <w:keepLines/>
      <w:ind w:left="1009" w:hanging="1009"/>
    </w:pPr>
    <w:rPr>
      <w:u w:val="single"/>
      <w:lang w:bidi="en-US"/>
    </w:rPr>
  </w:style>
  <w:style w:type="character" w:customStyle="1" w:styleId="FiveChar">
    <w:name w:val="Five Char"/>
    <w:basedOn w:val="Heading5Char"/>
    <w:link w:val="Five"/>
    <w:rsid w:val="00F223EF"/>
    <w:rPr>
      <w:rFonts w:eastAsiaTheme="majorEastAsia" w:cs="Times New Roman"/>
      <w:i/>
      <w:u w:val="single"/>
      <w:lang w:val="en-GB" w:bidi="en-US"/>
    </w:rPr>
  </w:style>
  <w:style w:type="table" w:customStyle="1" w:styleId="LightShading1">
    <w:name w:val="Light Shading1"/>
    <w:basedOn w:val="TableNormal"/>
    <w:uiPriority w:val="60"/>
    <w:rsid w:val="00F223EF"/>
    <w:pPr>
      <w:ind w:left="720" w:hanging="720"/>
    </w:pPr>
    <w:rPr>
      <w:rFonts w:asciiTheme="minorHAnsi" w:hAnsiTheme="minorHAnsi" w:cstheme="minorBid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F223EF"/>
  </w:style>
  <w:style w:type="paragraph" w:styleId="EndnoteText">
    <w:name w:val="endnote text"/>
    <w:basedOn w:val="Normal"/>
    <w:link w:val="EndnoteTextChar"/>
    <w:rsid w:val="00F223EF"/>
    <w:rPr>
      <w:sz w:val="20"/>
      <w:szCs w:val="20"/>
    </w:rPr>
  </w:style>
  <w:style w:type="character" w:customStyle="1" w:styleId="EndnoteTextChar">
    <w:name w:val="Endnote Text Char"/>
    <w:basedOn w:val="DefaultParagraphFont"/>
    <w:link w:val="EndnoteText"/>
    <w:rsid w:val="00F223EF"/>
    <w:rPr>
      <w:rFonts w:eastAsia="Times New Roman" w:cs="Times New Roman"/>
      <w:sz w:val="20"/>
      <w:szCs w:val="20"/>
      <w:lang w:val="en-GB" w:bidi="en-US"/>
    </w:rPr>
  </w:style>
  <w:style w:type="character" w:styleId="EndnoteReference">
    <w:name w:val="endnote reference"/>
    <w:basedOn w:val="DefaultParagraphFont"/>
    <w:rsid w:val="00F223EF"/>
    <w:rPr>
      <w:vertAlign w:val="superscript"/>
    </w:rPr>
  </w:style>
  <w:style w:type="character" w:customStyle="1" w:styleId="highlight">
    <w:name w:val="highlight"/>
    <w:basedOn w:val="DefaultParagraphFont"/>
    <w:rsid w:val="00F223EF"/>
  </w:style>
  <w:style w:type="character" w:styleId="PlaceholderText">
    <w:name w:val="Placeholder Text"/>
    <w:basedOn w:val="DefaultParagraphFont"/>
    <w:uiPriority w:val="99"/>
    <w:semiHidden/>
    <w:rsid w:val="00F223EF"/>
    <w:rPr>
      <w:color w:val="808080"/>
    </w:rPr>
  </w:style>
  <w:style w:type="table" w:styleId="TableColorful1">
    <w:name w:val="Table Colorful 1"/>
    <w:basedOn w:val="TableNormal"/>
    <w:rsid w:val="00F223EF"/>
    <w:pPr>
      <w:widowControl w:val="0"/>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F223EF"/>
    <w:pPr>
      <w:ind w:left="1134" w:hanging="567"/>
    </w:pPr>
    <w:rPr>
      <w:rFonts w:ascii="Times New Roman" w:hAnsi="Times New Roman"/>
      <w:sz w:val="24"/>
      <w:lang w:bidi="ar-SA"/>
    </w:rPr>
  </w:style>
  <w:style w:type="character" w:customStyle="1" w:styleId="DashpointChar">
    <w:name w:val="Dash point Char"/>
    <w:basedOn w:val="DefaultParagraphFont"/>
    <w:link w:val="Dashpoint"/>
    <w:rsid w:val="00F223EF"/>
    <w:rPr>
      <w:rFonts w:ascii="Times New Roman" w:eastAsia="Times New Roman" w:hAnsi="Times New Roman" w:cs="Times New Roman"/>
      <w:sz w:val="24"/>
      <w:szCs w:val="24"/>
      <w:lang w:val="en-GB"/>
    </w:rPr>
  </w:style>
  <w:style w:type="character" w:customStyle="1" w:styleId="DefinitionChar">
    <w:name w:val="Definition Char"/>
    <w:basedOn w:val="DefaultParagraphFont"/>
    <w:link w:val="Definition"/>
    <w:rsid w:val="00F223EF"/>
    <w:rPr>
      <w:rFonts w:eastAsia="Times New Roman" w:cs="Times New Roman"/>
      <w:szCs w:val="20"/>
      <w:lang w:val="en-GB" w:bidi="en-US"/>
    </w:rPr>
  </w:style>
  <w:style w:type="character" w:customStyle="1" w:styleId="SubclauseChar">
    <w:name w:val="Subclause Char"/>
    <w:basedOn w:val="DefaultParagraphFont"/>
    <w:link w:val="Subclause"/>
    <w:rsid w:val="00F223EF"/>
    <w:rPr>
      <w:rFonts w:eastAsia="Times New Roman" w:cs="Times New Roman"/>
      <w:szCs w:val="20"/>
      <w:lang w:val="en-GB" w:bidi="en-US"/>
    </w:rPr>
  </w:style>
  <w:style w:type="character" w:customStyle="1" w:styleId="st1">
    <w:name w:val="st1"/>
    <w:basedOn w:val="DefaultParagraphFont"/>
    <w:rsid w:val="00F223EF"/>
  </w:style>
  <w:style w:type="paragraph" w:customStyle="1" w:styleId="FSCfooter0">
    <w:name w:val="FSCfooter"/>
    <w:basedOn w:val="Normal"/>
    <w:qFormat/>
    <w:rsid w:val="00F223EF"/>
    <w:pPr>
      <w:tabs>
        <w:tab w:val="center" w:pos="4536"/>
        <w:tab w:val="right" w:pos="9072"/>
      </w:tabs>
    </w:pPr>
    <w:rPr>
      <w:sz w:val="18"/>
      <w:szCs w:val="20"/>
    </w:rPr>
  </w:style>
  <w:style w:type="paragraph" w:customStyle="1" w:styleId="PartContents">
    <w:name w:val="Part Contents"/>
    <w:basedOn w:val="Normal"/>
    <w:rsid w:val="00F223EF"/>
    <w:pPr>
      <w:spacing w:line="240" w:lineRule="atLeast"/>
      <w:ind w:left="1120" w:hanging="560"/>
    </w:pPr>
    <w:rPr>
      <w:szCs w:val="20"/>
    </w:rPr>
  </w:style>
  <w:style w:type="paragraph" w:customStyle="1" w:styleId="PartHeading">
    <w:name w:val="Part Heading"/>
    <w:basedOn w:val="Normal"/>
    <w:rsid w:val="00F223EF"/>
    <w:pPr>
      <w:tabs>
        <w:tab w:val="left" w:pos="851"/>
      </w:tabs>
      <w:jc w:val="center"/>
    </w:pPr>
    <w:rPr>
      <w:b/>
      <w:i/>
      <w:sz w:val="36"/>
      <w:szCs w:val="20"/>
    </w:rPr>
  </w:style>
  <w:style w:type="numbering" w:customStyle="1" w:styleId="NoList1">
    <w:name w:val="No List1"/>
    <w:next w:val="NoList"/>
    <w:uiPriority w:val="99"/>
    <w:semiHidden/>
    <w:unhideWhenUsed/>
    <w:rsid w:val="00F223EF"/>
  </w:style>
  <w:style w:type="table" w:customStyle="1" w:styleId="TableGrid1">
    <w:name w:val="Table Grid1"/>
    <w:basedOn w:val="TableNormal"/>
    <w:next w:val="TableGrid"/>
    <w:uiPriority w:val="59"/>
    <w:rsid w:val="00F223EF"/>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F223EF"/>
    <w:rPr>
      <w:rFonts w:asciiTheme="minorHAnsi" w:hAnsiTheme="minorHAnsi" w:cstheme="minorBidi"/>
    </w:rPr>
    <w:tblPr/>
  </w:style>
  <w:style w:type="table" w:customStyle="1" w:styleId="MediumList1-Accent31">
    <w:name w:val="Medium List 1 - Accent 31"/>
    <w:basedOn w:val="TableNormal"/>
    <w:next w:val="MediumList1-Accent3"/>
    <w:uiPriority w:val="65"/>
    <w:rsid w:val="00F223EF"/>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F223EF"/>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F223EF"/>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F223EF"/>
    <w:rPr>
      <w:rFonts w:asciiTheme="minorHAnsi" w:hAnsiTheme="minorHAnsi" w:cstheme="minorBidi"/>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F223EF"/>
    <w:pPr>
      <w:ind w:left="720" w:hanging="720"/>
    </w:pPr>
    <w:rPr>
      <w:rFonts w:asciiTheme="minorHAnsi" w:hAnsiTheme="minorHAnsi" w:cstheme="minorBid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F223EF"/>
    <w:pPr>
      <w:widowControl w:val="0"/>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F223EF"/>
  </w:style>
  <w:style w:type="paragraph" w:styleId="Caption">
    <w:name w:val="caption"/>
    <w:basedOn w:val="Normal"/>
    <w:next w:val="Normal"/>
    <w:unhideWhenUsed/>
    <w:rsid w:val="00F223EF"/>
    <w:pPr>
      <w:spacing w:after="200"/>
    </w:pPr>
    <w:rPr>
      <w:b/>
      <w:bCs/>
      <w:color w:val="4F81BD" w:themeColor="accent1"/>
      <w:sz w:val="18"/>
      <w:szCs w:val="18"/>
    </w:rPr>
  </w:style>
  <w:style w:type="table" w:customStyle="1" w:styleId="TableGrid2">
    <w:name w:val="Table Grid2"/>
    <w:basedOn w:val="TableNormal"/>
    <w:next w:val="TableGrid"/>
    <w:rsid w:val="00802FC0"/>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6359">
      <w:bodyDiv w:val="1"/>
      <w:marLeft w:val="0"/>
      <w:marRight w:val="0"/>
      <w:marTop w:val="0"/>
      <w:marBottom w:val="0"/>
      <w:divBdr>
        <w:top w:val="none" w:sz="0" w:space="0" w:color="auto"/>
        <w:left w:val="none" w:sz="0" w:space="0" w:color="auto"/>
        <w:bottom w:val="none" w:sz="0" w:space="0" w:color="auto"/>
        <w:right w:val="none" w:sz="0" w:space="0" w:color="auto"/>
      </w:divBdr>
    </w:div>
    <w:div w:id="135994408">
      <w:bodyDiv w:val="1"/>
      <w:marLeft w:val="0"/>
      <w:marRight w:val="0"/>
      <w:marTop w:val="0"/>
      <w:marBottom w:val="0"/>
      <w:divBdr>
        <w:top w:val="none" w:sz="0" w:space="0" w:color="auto"/>
        <w:left w:val="none" w:sz="0" w:space="0" w:color="auto"/>
        <w:bottom w:val="none" w:sz="0" w:space="0" w:color="auto"/>
        <w:right w:val="none" w:sz="0" w:space="0" w:color="auto"/>
      </w:divBdr>
    </w:div>
    <w:div w:id="348219395">
      <w:bodyDiv w:val="1"/>
      <w:marLeft w:val="0"/>
      <w:marRight w:val="0"/>
      <w:marTop w:val="0"/>
      <w:marBottom w:val="0"/>
      <w:divBdr>
        <w:top w:val="none" w:sz="0" w:space="0" w:color="auto"/>
        <w:left w:val="none" w:sz="0" w:space="0" w:color="auto"/>
        <w:bottom w:val="none" w:sz="0" w:space="0" w:color="auto"/>
        <w:right w:val="none" w:sz="0" w:space="0" w:color="auto"/>
      </w:divBdr>
    </w:div>
    <w:div w:id="380325523">
      <w:bodyDiv w:val="1"/>
      <w:marLeft w:val="0"/>
      <w:marRight w:val="0"/>
      <w:marTop w:val="0"/>
      <w:marBottom w:val="0"/>
      <w:divBdr>
        <w:top w:val="none" w:sz="0" w:space="0" w:color="auto"/>
        <w:left w:val="none" w:sz="0" w:space="0" w:color="auto"/>
        <w:bottom w:val="none" w:sz="0" w:space="0" w:color="auto"/>
        <w:right w:val="none" w:sz="0" w:space="0" w:color="auto"/>
      </w:divBdr>
    </w:div>
    <w:div w:id="577205783">
      <w:bodyDiv w:val="1"/>
      <w:marLeft w:val="0"/>
      <w:marRight w:val="0"/>
      <w:marTop w:val="0"/>
      <w:marBottom w:val="0"/>
      <w:divBdr>
        <w:top w:val="none" w:sz="0" w:space="0" w:color="auto"/>
        <w:left w:val="none" w:sz="0" w:space="0" w:color="auto"/>
        <w:bottom w:val="none" w:sz="0" w:space="0" w:color="auto"/>
        <w:right w:val="none" w:sz="0" w:space="0" w:color="auto"/>
      </w:divBdr>
      <w:divsChild>
        <w:div w:id="876896867">
          <w:marLeft w:val="0"/>
          <w:marRight w:val="1"/>
          <w:marTop w:val="0"/>
          <w:marBottom w:val="0"/>
          <w:divBdr>
            <w:top w:val="none" w:sz="0" w:space="0" w:color="auto"/>
            <w:left w:val="none" w:sz="0" w:space="0" w:color="auto"/>
            <w:bottom w:val="none" w:sz="0" w:space="0" w:color="auto"/>
            <w:right w:val="none" w:sz="0" w:space="0" w:color="auto"/>
          </w:divBdr>
          <w:divsChild>
            <w:div w:id="1739936945">
              <w:marLeft w:val="0"/>
              <w:marRight w:val="0"/>
              <w:marTop w:val="0"/>
              <w:marBottom w:val="0"/>
              <w:divBdr>
                <w:top w:val="none" w:sz="0" w:space="0" w:color="auto"/>
                <w:left w:val="none" w:sz="0" w:space="0" w:color="auto"/>
                <w:bottom w:val="none" w:sz="0" w:space="0" w:color="auto"/>
                <w:right w:val="none" w:sz="0" w:space="0" w:color="auto"/>
              </w:divBdr>
              <w:divsChild>
                <w:div w:id="447967873">
                  <w:marLeft w:val="0"/>
                  <w:marRight w:val="1"/>
                  <w:marTop w:val="0"/>
                  <w:marBottom w:val="0"/>
                  <w:divBdr>
                    <w:top w:val="none" w:sz="0" w:space="0" w:color="auto"/>
                    <w:left w:val="none" w:sz="0" w:space="0" w:color="auto"/>
                    <w:bottom w:val="none" w:sz="0" w:space="0" w:color="auto"/>
                    <w:right w:val="none" w:sz="0" w:space="0" w:color="auto"/>
                  </w:divBdr>
                  <w:divsChild>
                    <w:div w:id="1662152115">
                      <w:marLeft w:val="0"/>
                      <w:marRight w:val="0"/>
                      <w:marTop w:val="0"/>
                      <w:marBottom w:val="0"/>
                      <w:divBdr>
                        <w:top w:val="none" w:sz="0" w:space="0" w:color="auto"/>
                        <w:left w:val="none" w:sz="0" w:space="0" w:color="auto"/>
                        <w:bottom w:val="none" w:sz="0" w:space="0" w:color="auto"/>
                        <w:right w:val="none" w:sz="0" w:space="0" w:color="auto"/>
                      </w:divBdr>
                      <w:divsChild>
                        <w:div w:id="1835293211">
                          <w:marLeft w:val="0"/>
                          <w:marRight w:val="0"/>
                          <w:marTop w:val="0"/>
                          <w:marBottom w:val="0"/>
                          <w:divBdr>
                            <w:top w:val="none" w:sz="0" w:space="0" w:color="auto"/>
                            <w:left w:val="none" w:sz="0" w:space="0" w:color="auto"/>
                            <w:bottom w:val="none" w:sz="0" w:space="0" w:color="auto"/>
                            <w:right w:val="none" w:sz="0" w:space="0" w:color="auto"/>
                          </w:divBdr>
                          <w:divsChild>
                            <w:div w:id="542592742">
                              <w:marLeft w:val="0"/>
                              <w:marRight w:val="0"/>
                              <w:marTop w:val="120"/>
                              <w:marBottom w:val="360"/>
                              <w:divBdr>
                                <w:top w:val="none" w:sz="0" w:space="0" w:color="auto"/>
                                <w:left w:val="none" w:sz="0" w:space="0" w:color="auto"/>
                                <w:bottom w:val="none" w:sz="0" w:space="0" w:color="auto"/>
                                <w:right w:val="none" w:sz="0" w:space="0" w:color="auto"/>
                              </w:divBdr>
                              <w:divsChild>
                                <w:div w:id="885990917">
                                  <w:marLeft w:val="420"/>
                                  <w:marRight w:val="0"/>
                                  <w:marTop w:val="0"/>
                                  <w:marBottom w:val="0"/>
                                  <w:divBdr>
                                    <w:top w:val="none" w:sz="0" w:space="0" w:color="auto"/>
                                    <w:left w:val="none" w:sz="0" w:space="0" w:color="auto"/>
                                    <w:bottom w:val="none" w:sz="0" w:space="0" w:color="auto"/>
                                    <w:right w:val="none" w:sz="0" w:space="0" w:color="auto"/>
                                  </w:divBdr>
                                  <w:divsChild>
                                    <w:div w:id="4140866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0323">
      <w:bodyDiv w:val="1"/>
      <w:marLeft w:val="0"/>
      <w:marRight w:val="0"/>
      <w:marTop w:val="0"/>
      <w:marBottom w:val="0"/>
      <w:divBdr>
        <w:top w:val="none" w:sz="0" w:space="0" w:color="auto"/>
        <w:left w:val="none" w:sz="0" w:space="0" w:color="auto"/>
        <w:bottom w:val="none" w:sz="0" w:space="0" w:color="auto"/>
        <w:right w:val="none" w:sz="0" w:space="0" w:color="auto"/>
      </w:divBdr>
    </w:div>
    <w:div w:id="1251350417">
      <w:bodyDiv w:val="1"/>
      <w:marLeft w:val="0"/>
      <w:marRight w:val="0"/>
      <w:marTop w:val="0"/>
      <w:marBottom w:val="0"/>
      <w:divBdr>
        <w:top w:val="none" w:sz="0" w:space="0" w:color="auto"/>
        <w:left w:val="none" w:sz="0" w:space="0" w:color="auto"/>
        <w:bottom w:val="none" w:sz="0" w:space="0" w:color="auto"/>
        <w:right w:val="none" w:sz="0" w:space="0" w:color="auto"/>
      </w:divBdr>
      <w:divsChild>
        <w:div w:id="119734557">
          <w:marLeft w:val="0"/>
          <w:marRight w:val="1"/>
          <w:marTop w:val="0"/>
          <w:marBottom w:val="0"/>
          <w:divBdr>
            <w:top w:val="none" w:sz="0" w:space="0" w:color="auto"/>
            <w:left w:val="none" w:sz="0" w:space="0" w:color="auto"/>
            <w:bottom w:val="none" w:sz="0" w:space="0" w:color="auto"/>
            <w:right w:val="none" w:sz="0" w:space="0" w:color="auto"/>
          </w:divBdr>
          <w:divsChild>
            <w:div w:id="9600900">
              <w:marLeft w:val="0"/>
              <w:marRight w:val="0"/>
              <w:marTop w:val="0"/>
              <w:marBottom w:val="0"/>
              <w:divBdr>
                <w:top w:val="none" w:sz="0" w:space="0" w:color="auto"/>
                <w:left w:val="none" w:sz="0" w:space="0" w:color="auto"/>
                <w:bottom w:val="none" w:sz="0" w:space="0" w:color="auto"/>
                <w:right w:val="none" w:sz="0" w:space="0" w:color="auto"/>
              </w:divBdr>
              <w:divsChild>
                <w:div w:id="14694511">
                  <w:marLeft w:val="0"/>
                  <w:marRight w:val="1"/>
                  <w:marTop w:val="0"/>
                  <w:marBottom w:val="0"/>
                  <w:divBdr>
                    <w:top w:val="none" w:sz="0" w:space="0" w:color="auto"/>
                    <w:left w:val="none" w:sz="0" w:space="0" w:color="auto"/>
                    <w:bottom w:val="none" w:sz="0" w:space="0" w:color="auto"/>
                    <w:right w:val="none" w:sz="0" w:space="0" w:color="auto"/>
                  </w:divBdr>
                  <w:divsChild>
                    <w:div w:id="1269579760">
                      <w:marLeft w:val="0"/>
                      <w:marRight w:val="0"/>
                      <w:marTop w:val="0"/>
                      <w:marBottom w:val="0"/>
                      <w:divBdr>
                        <w:top w:val="none" w:sz="0" w:space="0" w:color="auto"/>
                        <w:left w:val="none" w:sz="0" w:space="0" w:color="auto"/>
                        <w:bottom w:val="none" w:sz="0" w:space="0" w:color="auto"/>
                        <w:right w:val="none" w:sz="0" w:space="0" w:color="auto"/>
                      </w:divBdr>
                      <w:divsChild>
                        <w:div w:id="1649242816">
                          <w:marLeft w:val="0"/>
                          <w:marRight w:val="0"/>
                          <w:marTop w:val="0"/>
                          <w:marBottom w:val="0"/>
                          <w:divBdr>
                            <w:top w:val="none" w:sz="0" w:space="0" w:color="auto"/>
                            <w:left w:val="none" w:sz="0" w:space="0" w:color="auto"/>
                            <w:bottom w:val="none" w:sz="0" w:space="0" w:color="auto"/>
                            <w:right w:val="none" w:sz="0" w:space="0" w:color="auto"/>
                          </w:divBdr>
                          <w:divsChild>
                            <w:div w:id="1693528820">
                              <w:marLeft w:val="0"/>
                              <w:marRight w:val="0"/>
                              <w:marTop w:val="120"/>
                              <w:marBottom w:val="360"/>
                              <w:divBdr>
                                <w:top w:val="none" w:sz="0" w:space="0" w:color="auto"/>
                                <w:left w:val="none" w:sz="0" w:space="0" w:color="auto"/>
                                <w:bottom w:val="none" w:sz="0" w:space="0" w:color="auto"/>
                                <w:right w:val="none" w:sz="0" w:space="0" w:color="auto"/>
                              </w:divBdr>
                              <w:divsChild>
                                <w:div w:id="832452965">
                                  <w:marLeft w:val="420"/>
                                  <w:marRight w:val="0"/>
                                  <w:marTop w:val="0"/>
                                  <w:marBottom w:val="0"/>
                                  <w:divBdr>
                                    <w:top w:val="none" w:sz="0" w:space="0" w:color="auto"/>
                                    <w:left w:val="none" w:sz="0" w:space="0" w:color="auto"/>
                                    <w:bottom w:val="none" w:sz="0" w:space="0" w:color="auto"/>
                                    <w:right w:val="none" w:sz="0" w:space="0" w:color="auto"/>
                                  </w:divBdr>
                                  <w:divsChild>
                                    <w:div w:id="208595514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762381">
      <w:bodyDiv w:val="1"/>
      <w:marLeft w:val="0"/>
      <w:marRight w:val="0"/>
      <w:marTop w:val="0"/>
      <w:marBottom w:val="0"/>
      <w:divBdr>
        <w:top w:val="none" w:sz="0" w:space="0" w:color="auto"/>
        <w:left w:val="none" w:sz="0" w:space="0" w:color="auto"/>
        <w:bottom w:val="none" w:sz="0" w:space="0" w:color="auto"/>
        <w:right w:val="none" w:sz="0" w:space="0" w:color="auto"/>
      </w:divBdr>
    </w:div>
    <w:div w:id="1565020175">
      <w:bodyDiv w:val="1"/>
      <w:marLeft w:val="0"/>
      <w:marRight w:val="0"/>
      <w:marTop w:val="0"/>
      <w:marBottom w:val="0"/>
      <w:divBdr>
        <w:top w:val="none" w:sz="0" w:space="0" w:color="auto"/>
        <w:left w:val="none" w:sz="0" w:space="0" w:color="auto"/>
        <w:bottom w:val="none" w:sz="0" w:space="0" w:color="auto"/>
        <w:right w:val="none" w:sz="0" w:space="0" w:color="auto"/>
      </w:divBdr>
    </w:div>
    <w:div w:id="16808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www.foodstandards.gov.au/science/exposure/documents/Principles%20_%20practices%20exposure%20assessment%202009.pdf" TargetMode="External"/><Relationship Id="rId39" Type="http://schemas.openxmlformats.org/officeDocument/2006/relationships/theme" Target="theme/theme1.xml"/><Relationship Id="rId21" Type="http://schemas.openxmlformats.org/officeDocument/2006/relationships/image" Target="media/image3.jpeg"/><Relationship Id="rId34" Type="http://schemas.openxmlformats.org/officeDocument/2006/relationships/hyperlink" Target="http://www.foodstandards.gov.au/science/riskanalysis/Pages/default.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foodstandards.gov.au/publications/documents/Intense_sweetener_Report_feb04.pdf" TargetMode="External"/><Relationship Id="rId33" Type="http://schemas.openxmlformats.org/officeDocument/2006/relationships/hyperlink" Target="http://whqlibdoc.who.int/trs/WHO_TRS_806.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oodstandards.gov.au/publications/Pages/evaluationreportseries/intensesweetenerssurveymarch2004/Default.aspx" TargetMode="External"/><Relationship Id="rId29" Type="http://schemas.openxmlformats.org/officeDocument/2006/relationships/hyperlink" Target="http://whqlibdoc.who.int/trs/WHO_TRS_66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food/food-safety-quality/scientific-advice/jecfa/jecfa-additives/en/" TargetMode="External"/><Relationship Id="rId32" Type="http://schemas.openxmlformats.org/officeDocument/2006/relationships/hyperlink" Target="http://www.inchem.org/documents/jecfa/jecmono/v18je02.htm" TargetMode="Externa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abs.gov.au/AUSSTATS/abs@.nsf/DetailsPage/4364.0.55.0072011-12?OpenDocument" TargetMode="External"/><Relationship Id="rId28" Type="http://schemas.openxmlformats.org/officeDocument/2006/relationships/hyperlink" Target="http://ntp.niehs.nih.gov/testing/types/altmodels/reports/gmm02/index.html" TargetMode="External"/><Relationship Id="rId36" Type="http://schemas.openxmlformats.org/officeDocument/2006/relationships/hyperlink" Target="http://www.foodstandards.gov.au/science/exposure/Pages/dietaryexposureandin4438.aspx"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http://whqlibdoc.who.int/trs/WHO_TRS_696.pdf" TargetMode="External"/><Relationship Id="rId35" Type="http://schemas.openxmlformats.org/officeDocument/2006/relationships/hyperlink" Target="http://www.foodstandards.gov.au/science/exposure/documents/Principles%20_%20practices%20exposure%20assessment%202009.pdf" TargetMode="Externa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4.jpeg"/><Relationship Id="rId27" Type="http://schemas.openxmlformats.org/officeDocument/2006/relationships/hyperlink" Target="http://www.foodstandards.gov.au/science/exposure/Pages/protectinghighconsum4441.aspx" TargetMode="External"/><Relationship Id="rId30" Type="http://schemas.openxmlformats.org/officeDocument/2006/relationships/hyperlink" Target="http://www.inchem.org/documents/jecfa/jecmono/v16je02.htm"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codexalimentarius.net/gsfaonline/additives/details.html?id=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A86C-FF61-4285-BEFA-0A2742F280F4}"/>
</file>

<file path=customXml/itemProps2.xml><?xml version="1.0" encoding="utf-8"?>
<ds:datastoreItem xmlns:ds="http://schemas.openxmlformats.org/officeDocument/2006/customXml" ds:itemID="{590F83E9-8F3D-41EF-A827-996EC9EDD70C}"/>
</file>

<file path=customXml/itemProps3.xml><?xml version="1.0" encoding="utf-8"?>
<ds:datastoreItem xmlns:ds="http://schemas.openxmlformats.org/officeDocument/2006/customXml" ds:itemID="{84A05DF7-7114-4DAD-8FE3-36251D9CF99F}"/>
</file>

<file path=customXml/itemProps4.xml><?xml version="1.0" encoding="utf-8"?>
<ds:datastoreItem xmlns:ds="http://schemas.openxmlformats.org/officeDocument/2006/customXml" ds:itemID="{63AE7432-6887-4A94-B07B-6372F6CCFF35}"/>
</file>

<file path=customXml/itemProps5.xml><?xml version="1.0" encoding="utf-8"?>
<ds:datastoreItem xmlns:ds="http://schemas.openxmlformats.org/officeDocument/2006/customXml" ds:itemID="{3C83D32B-75BA-4726-9DC5-E50E7C408B4D}"/>
</file>

<file path=customXml/itemProps6.xml><?xml version="1.0" encoding="utf-8"?>
<ds:datastoreItem xmlns:ds="http://schemas.openxmlformats.org/officeDocument/2006/customXml" ds:itemID="{84A05DF7-7114-4DAD-8FE3-36251D9CF99F}"/>
</file>

<file path=docProps/app.xml><?xml version="1.0" encoding="utf-8"?>
<Properties xmlns="http://schemas.openxmlformats.org/officeDocument/2006/extended-properties" xmlns:vt="http://schemas.openxmlformats.org/officeDocument/2006/docPropsVTypes">
  <Template>Normal.dotm</Template>
  <TotalTime>218</TotalTime>
  <Pages>18</Pages>
  <Words>7148</Words>
  <Characters>40746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SD1</vt:lpstr>
    </vt:vector>
  </TitlesOfParts>
  <Company>Food Standards Australia New Zealand</Company>
  <LinksUpToDate>false</LinksUpToDate>
  <CharactersWithSpaces>47799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SD1</dc:title>
  <dc:creator>Clapham, Lynne</dc:creator>
  <cp:keywords>Risk assessment</cp:keywords>
  <cp:lastModifiedBy>humphc</cp:lastModifiedBy>
  <cp:revision>18</cp:revision>
  <cp:lastPrinted>2015-08-18T00:05:00Z</cp:lastPrinted>
  <dcterms:created xsi:type="dcterms:W3CDTF">2015-08-09T22:22:00Z</dcterms:created>
  <dcterms:modified xsi:type="dcterms:W3CDTF">2015-08-18T06:50:00Z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79036d9c-fafd-4384-a72a-5ad4a5e61595</vt:lpwstr>
  </property>
  <property fmtid="{D5CDD505-2E9C-101B-9397-08002B2CF9AE}" pid="6" name="a41428b017d04df981d58ffdf035d7b8">
    <vt:lpwstr>|e1e32ca4-364d-46d7-813a-d3141d2fc5b3</vt:lpwstr>
  </property>
</Properties>
</file>